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2D7CBAD4" w:rsidR="00A22298" w:rsidRDefault="00A639E4" w:rsidP="00B42F40">
      <w:pPr>
        <w:pStyle w:val="Titul2"/>
      </w:pPr>
      <w:r w:rsidRPr="00A52877">
        <w:rPr>
          <w:rFonts w:eastAsia="Times New Roman" w:cs="Times New Roman"/>
          <w:bCs/>
          <w:i/>
          <w:lang w:eastAsia="cs-CZ"/>
        </w:rPr>
        <w:t xml:space="preserve">kapacitní posouzení individuální automobilové dopravy (IAD) vybraných stavů dle Zásad organizace výstavby </w:t>
      </w:r>
    </w:p>
    <w:p w14:paraId="0030737C" w14:textId="1ADF976F" w:rsidR="00F422D3" w:rsidRDefault="00F422D3" w:rsidP="00B42F40">
      <w:pPr>
        <w:pStyle w:val="Titul2"/>
      </w:pPr>
      <w:r>
        <w:t>Název zakázky: „</w:t>
      </w:r>
      <w:r w:rsidR="00A639E4">
        <w:t xml:space="preserve">Modernizace a elektrizace trati </w:t>
      </w:r>
      <w:proofErr w:type="gramStart"/>
      <w:r w:rsidR="00A639E4">
        <w:t>Otrokovice - Vizovice</w:t>
      </w:r>
      <w:proofErr w:type="gramEnd"/>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611B4C03" w:rsidR="00F422D3" w:rsidRDefault="00F422D3" w:rsidP="00B42F40">
      <w:pPr>
        <w:pStyle w:val="Textbezodsazen"/>
      </w:pPr>
      <w:r>
        <w:t xml:space="preserve">ISPROFOND: </w:t>
      </w:r>
      <w:r w:rsidR="00A639E4">
        <w:t>5723720001</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8DCB629" w:rsidR="003F5723" w:rsidRDefault="003F5723" w:rsidP="003F5723">
      <w:pPr>
        <w:pStyle w:val="Text1-1"/>
      </w:pPr>
      <w:r>
        <w:t xml:space="preserve">Objednatel </w:t>
      </w:r>
      <w:r w:rsidRPr="00176814">
        <w:t xml:space="preserve">oznámil </w:t>
      </w:r>
      <w:r w:rsidR="00176814" w:rsidRPr="00A639E4">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A639E4">
        <w:rPr>
          <w:rFonts w:eastAsia="Times New Roman" w:cs="Times New Roman"/>
          <w:b/>
          <w:lang w:eastAsia="cs-CZ"/>
        </w:rPr>
        <w:t xml:space="preserve">Modernizace a elektrizace trati </w:t>
      </w:r>
      <w:proofErr w:type="gramStart"/>
      <w:r w:rsidR="00A639E4">
        <w:rPr>
          <w:rFonts w:eastAsia="Times New Roman" w:cs="Times New Roman"/>
          <w:b/>
          <w:lang w:eastAsia="cs-CZ"/>
        </w:rPr>
        <w:t>Otrokovice - Vizovice</w:t>
      </w:r>
      <w:proofErr w:type="gramEnd"/>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D4F2387" w:rsidR="003F5723" w:rsidRDefault="003F5723" w:rsidP="003F5723">
      <w:pPr>
        <w:pStyle w:val="Text1-1"/>
      </w:pPr>
      <w:r>
        <w:t xml:space="preserve">Zhotovitel se zavazuje v souladu s touto Smlouvou provést </w:t>
      </w:r>
      <w:r w:rsidR="00546383">
        <w:t>d</w:t>
      </w:r>
      <w:r>
        <w:t xml:space="preserve">ílo spočívající ve </w:t>
      </w:r>
      <w:r w:rsidR="00266436" w:rsidRPr="00266436">
        <w:t>zpracování</w:t>
      </w:r>
      <w:r w:rsidRPr="00266436">
        <w:t xml:space="preserve"> </w:t>
      </w:r>
      <w:r w:rsidR="00A639E4" w:rsidRPr="00A52877">
        <w:rPr>
          <w:rFonts w:eastAsia="Times New Roman" w:cs="Times New Roman"/>
          <w:b/>
          <w:bCs/>
          <w:i/>
          <w:lang w:eastAsia="cs-CZ"/>
        </w:rPr>
        <w:t>kapacitní</w:t>
      </w:r>
      <w:r w:rsidR="00266436">
        <w:rPr>
          <w:rFonts w:eastAsia="Times New Roman" w:cs="Times New Roman"/>
          <w:b/>
          <w:bCs/>
          <w:i/>
          <w:lang w:eastAsia="cs-CZ"/>
        </w:rPr>
        <w:t>ho</w:t>
      </w:r>
      <w:r w:rsidR="00A639E4" w:rsidRPr="00A52877">
        <w:rPr>
          <w:rFonts w:eastAsia="Times New Roman" w:cs="Times New Roman"/>
          <w:b/>
          <w:bCs/>
          <w:i/>
          <w:lang w:eastAsia="cs-CZ"/>
        </w:rPr>
        <w:t xml:space="preserve"> posouzení individuální automobilové dopravy (IAD) vybraných stavů dle Zásad organizace výstavby (dále jen „ZOV“)</w:t>
      </w:r>
      <w:r w:rsidR="00EF78DF">
        <w:t xml:space="preserve"> „Modernizace a elektrizace trati Otrokovice – Vizovice“</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54429498" w:rsidR="003F5723" w:rsidRPr="00DD5F8B"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 xml:space="preserve">.1. Předkládaná smluvní dokumentace bude anonymizovaná tak, aby neobsahovala </w:t>
      </w:r>
      <w:r>
        <w:lastRenderedPageBreak/>
        <w:t>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2E843E8A" w:rsidR="00600C41" w:rsidRDefault="00600C41" w:rsidP="00F14B75">
      <w:pPr>
        <w:pStyle w:val="Text1-2"/>
        <w:numPr>
          <w:ilvl w:val="0"/>
          <w:numId w:val="39"/>
        </w:numPr>
        <w:ind w:left="1985"/>
      </w:pPr>
      <w:r w:rsidRPr="00922189">
        <w:t xml:space="preserve">on, ani žádný z jeho poddodavatelů nebo jiných osob, jejichž způsobilost byla využita ve smyslu evropských směrnic o zadávání veřejných zakázek, </w:t>
      </w:r>
      <w:r w:rsidRPr="00922189">
        <w:lastRenderedPageBreak/>
        <w:t>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anebo osobami dle čl. 2 nařízení uveden</w:t>
      </w:r>
      <w:r w:rsidR="00B909F6">
        <w:t>ých</w:t>
      </w:r>
      <w:r w:rsidR="00BD3114" w:rsidRPr="000E0846">
        <w:t xml:space="preserve"> v odstavci </w:t>
      </w:r>
      <w:r w:rsidR="00BD3114">
        <w:t>4.</w:t>
      </w:r>
      <w:r w:rsidR="00664128">
        <w:t>7</w:t>
      </w:r>
      <w:r w:rsidR="00BD3114">
        <w:t>.4</w:t>
      </w:r>
      <w:r w:rsidR="00BD3114" w:rsidRPr="000E0846">
        <w:t xml:space="preserve"> této smlouvy </w:t>
      </w:r>
      <w:r w:rsidRPr="00922189">
        <w:t>(dále jen „Sankční seznamy“),</w:t>
      </w:r>
    </w:p>
    <w:p w14:paraId="53CBCC1F" w14:textId="4DF2E5E2" w:rsidR="00B909F6" w:rsidRPr="00922189" w:rsidRDefault="00B909F6"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19E38F7"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w:t>
      </w:r>
      <w:r w:rsidRPr="00B459C0">
        <w:lastRenderedPageBreak/>
        <w:t>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02AF59D7"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lastRenderedPageBreak/>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lastRenderedPageBreak/>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2FAB6491"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EF78DF">
        <w:rPr>
          <w:b/>
        </w:rPr>
        <w:t xml:space="preserve"> </w:t>
      </w:r>
      <w:r w:rsidR="00B42CAB" w:rsidRPr="00B42CAB">
        <w:rPr>
          <w:b/>
        </w:rPr>
        <w:t>SSV</w:t>
      </w:r>
      <w:r w:rsidR="00B23140">
        <w:rPr>
          <w:b/>
        </w:rPr>
        <w:t>/</w:t>
      </w:r>
      <w:r w:rsidR="00EF78DF">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C34017E" w14:textId="77777777" w:rsidR="00EF78DF" w:rsidRPr="001317E6" w:rsidRDefault="00F1246E" w:rsidP="00EF78DF">
      <w:pPr>
        <w:spacing w:before="120" w:after="0" w:line="240" w:lineRule="auto"/>
        <w:rPr>
          <w:rFonts w:eastAsia="Times New Roman" w:cs="Arial"/>
          <w:lang w:eastAsia="cs-CZ"/>
        </w:rPr>
      </w:pPr>
      <w:r w:rsidRPr="00F37D94">
        <w:t xml:space="preserve">Předmětem Díla je </w:t>
      </w:r>
      <w:r w:rsidR="00EF78DF" w:rsidRPr="001317E6">
        <w:rPr>
          <w:rFonts w:eastAsia="Times New Roman" w:cs="Arial"/>
          <w:lang w:eastAsia="cs-CZ"/>
        </w:rPr>
        <w:t xml:space="preserve">kapacitní posouzení </w:t>
      </w:r>
      <w:r w:rsidR="00EF78DF">
        <w:rPr>
          <w:rFonts w:eastAsia="Times New Roman" w:cs="Arial"/>
          <w:lang w:eastAsia="cs-CZ"/>
        </w:rPr>
        <w:t>individuální automobilové dopravy (</w:t>
      </w:r>
      <w:r w:rsidR="00EF78DF" w:rsidRPr="001317E6">
        <w:rPr>
          <w:rFonts w:eastAsia="Times New Roman" w:cs="Arial"/>
          <w:lang w:eastAsia="cs-CZ"/>
        </w:rPr>
        <w:t>IAD</w:t>
      </w:r>
      <w:r w:rsidR="00EF78DF">
        <w:rPr>
          <w:rFonts w:eastAsia="Times New Roman" w:cs="Arial"/>
          <w:lang w:eastAsia="cs-CZ"/>
        </w:rPr>
        <w:t>)</w:t>
      </w:r>
      <w:r w:rsidR="00EF78DF" w:rsidRPr="001317E6">
        <w:rPr>
          <w:rFonts w:eastAsia="Times New Roman" w:cs="Arial"/>
          <w:lang w:eastAsia="cs-CZ"/>
        </w:rPr>
        <w:t xml:space="preserve"> vybraných stavů dle </w:t>
      </w:r>
      <w:r w:rsidR="00EF78DF">
        <w:rPr>
          <w:rFonts w:eastAsia="Times New Roman" w:cs="Arial"/>
          <w:lang w:eastAsia="cs-CZ"/>
        </w:rPr>
        <w:t>Z</w:t>
      </w:r>
      <w:r w:rsidR="00EF78DF" w:rsidRPr="001317E6">
        <w:rPr>
          <w:rFonts w:eastAsia="Times New Roman" w:cs="Arial"/>
          <w:lang w:eastAsia="cs-CZ"/>
        </w:rPr>
        <w:t xml:space="preserve">OV </w:t>
      </w:r>
      <w:r w:rsidR="00EF78DF">
        <w:rPr>
          <w:rFonts w:eastAsia="Times New Roman" w:cs="Arial"/>
          <w:lang w:eastAsia="cs-CZ"/>
        </w:rPr>
        <w:t>„</w:t>
      </w:r>
      <w:r w:rsidR="00EF78DF" w:rsidRPr="001317E6">
        <w:rPr>
          <w:rFonts w:eastAsia="Times New Roman" w:cs="Arial"/>
          <w:lang w:eastAsia="cs-CZ"/>
        </w:rPr>
        <w:t xml:space="preserve">Modernizace a elektrizace trati Otrokovice </w:t>
      </w:r>
      <w:r w:rsidR="00EF78DF">
        <w:rPr>
          <w:rFonts w:eastAsia="Times New Roman" w:cs="Arial"/>
          <w:lang w:eastAsia="cs-CZ"/>
        </w:rPr>
        <w:t>–</w:t>
      </w:r>
      <w:r w:rsidR="00EF78DF" w:rsidRPr="001317E6">
        <w:rPr>
          <w:rFonts w:eastAsia="Times New Roman" w:cs="Arial"/>
          <w:lang w:eastAsia="cs-CZ"/>
        </w:rPr>
        <w:t xml:space="preserve"> Vizovice</w:t>
      </w:r>
      <w:r w:rsidR="00EF78DF">
        <w:rPr>
          <w:rFonts w:eastAsia="Times New Roman" w:cs="Arial"/>
          <w:lang w:eastAsia="cs-CZ"/>
        </w:rPr>
        <w:t>“.</w:t>
      </w:r>
    </w:p>
    <w:p w14:paraId="222A2EF1" w14:textId="77777777" w:rsidR="00EF78DF" w:rsidRPr="001317E6" w:rsidRDefault="00EF78DF" w:rsidP="00EF78DF">
      <w:pPr>
        <w:spacing w:after="0" w:line="240" w:lineRule="auto"/>
        <w:rPr>
          <w:rFonts w:eastAsia="Times New Roman" w:cs="Arial"/>
          <w:lang w:eastAsia="cs-CZ"/>
        </w:rPr>
      </w:pPr>
    </w:p>
    <w:p w14:paraId="4757AA3E" w14:textId="77777777" w:rsidR="00EF78DF" w:rsidRPr="003C25AF" w:rsidRDefault="00EF78DF" w:rsidP="00EF78DF">
      <w:pPr>
        <w:spacing w:after="0" w:line="240" w:lineRule="auto"/>
        <w:rPr>
          <w:rFonts w:eastAsia="Times New Roman" w:cs="Arial"/>
          <w:b/>
          <w:bCs/>
          <w:lang w:eastAsia="cs-CZ"/>
        </w:rPr>
      </w:pPr>
      <w:r w:rsidRPr="003C25AF">
        <w:rPr>
          <w:rFonts w:eastAsia="Times New Roman" w:cs="Arial"/>
          <w:b/>
          <w:bCs/>
          <w:lang w:eastAsia="cs-CZ"/>
        </w:rPr>
        <w:t>Plnění díla je:</w:t>
      </w:r>
    </w:p>
    <w:p w14:paraId="092AEC6F" w14:textId="77777777" w:rsidR="00EF78DF" w:rsidRPr="001317E6" w:rsidRDefault="00EF78DF" w:rsidP="00EF78DF">
      <w:pPr>
        <w:spacing w:after="0" w:line="240" w:lineRule="auto"/>
        <w:rPr>
          <w:rFonts w:eastAsia="Times New Roman" w:cs="Arial"/>
          <w:lang w:eastAsia="cs-CZ"/>
        </w:rPr>
      </w:pPr>
    </w:p>
    <w:p w14:paraId="4EBD24FB" w14:textId="77777777" w:rsidR="00EF78DF" w:rsidRPr="003C25AF" w:rsidRDefault="00EF78DF" w:rsidP="00EF78DF">
      <w:pPr>
        <w:pStyle w:val="Odstavecseseznamem"/>
        <w:numPr>
          <w:ilvl w:val="0"/>
          <w:numId w:val="42"/>
        </w:numPr>
        <w:spacing w:after="0" w:line="240" w:lineRule="auto"/>
        <w:rPr>
          <w:rFonts w:eastAsia="Times New Roman" w:cs="Arial"/>
          <w:u w:val="single"/>
          <w:lang w:eastAsia="cs-CZ"/>
        </w:rPr>
      </w:pPr>
      <w:r w:rsidRPr="003C25AF">
        <w:rPr>
          <w:rFonts w:eastAsia="Times New Roman" w:cs="Arial"/>
          <w:u w:val="single"/>
          <w:lang w:eastAsia="cs-CZ"/>
        </w:rPr>
        <w:t xml:space="preserve">Sestavení dopravního modelu města Otrokovice </w:t>
      </w:r>
    </w:p>
    <w:p w14:paraId="49409609"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Zjednodušený dopravní model automobilové dopravy pokrývající modelaci na páteřních sběrných komunikacích města Otrokovice. </w:t>
      </w:r>
    </w:p>
    <w:p w14:paraId="4DC8C3D7"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Průzkum bude proveden v běžný pracovní den a bude proveden min. v časovém období od 6-18.  </w:t>
      </w:r>
    </w:p>
    <w:p w14:paraId="2A0DF084"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Průzkum bude proveden na min. 8 stanovištích, jejich pozice bude odsouhlasena objednatelem před samotným zahájením prací.</w:t>
      </w:r>
    </w:p>
    <w:p w14:paraId="73D0B085"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Průzkum bude graficky vyhodnocen a data převedena na hodnoty RPDI.</w:t>
      </w:r>
    </w:p>
    <w:p w14:paraId="2810E3D7" w14:textId="77777777" w:rsidR="00EF78DF" w:rsidRPr="001317E6" w:rsidRDefault="00EF78DF" w:rsidP="00EF78DF">
      <w:pPr>
        <w:spacing w:after="0" w:line="240" w:lineRule="auto"/>
        <w:rPr>
          <w:rFonts w:eastAsia="Times New Roman" w:cs="Arial"/>
          <w:lang w:eastAsia="cs-CZ"/>
        </w:rPr>
      </w:pPr>
    </w:p>
    <w:p w14:paraId="2B017CF5" w14:textId="77777777" w:rsidR="00EF78DF" w:rsidRPr="003C25AF" w:rsidRDefault="00EF78DF" w:rsidP="00EF78DF">
      <w:pPr>
        <w:pStyle w:val="Odstavecseseznamem"/>
        <w:numPr>
          <w:ilvl w:val="0"/>
          <w:numId w:val="42"/>
        </w:numPr>
        <w:spacing w:after="0" w:line="240" w:lineRule="auto"/>
        <w:rPr>
          <w:rFonts w:eastAsia="Times New Roman" w:cs="Arial"/>
          <w:u w:val="single"/>
          <w:lang w:eastAsia="cs-CZ"/>
        </w:rPr>
      </w:pPr>
      <w:r w:rsidRPr="003C25AF">
        <w:rPr>
          <w:rFonts w:eastAsia="Times New Roman" w:cs="Arial"/>
          <w:u w:val="single"/>
          <w:lang w:eastAsia="cs-CZ"/>
        </w:rPr>
        <w:t xml:space="preserve">Aktualizace dopravní sítě a územního rozvoje města Zlína, kalibrace dopravního modelu automobilové dopravy podle </w:t>
      </w:r>
      <w:proofErr w:type="spellStart"/>
      <w:r w:rsidRPr="003C25AF">
        <w:rPr>
          <w:rFonts w:eastAsia="Times New Roman" w:cs="Arial"/>
          <w:u w:val="single"/>
          <w:lang w:eastAsia="cs-CZ"/>
        </w:rPr>
        <w:t>SUMPu</w:t>
      </w:r>
      <w:proofErr w:type="spellEnd"/>
      <w:r w:rsidRPr="003C25AF">
        <w:rPr>
          <w:rFonts w:eastAsia="Times New Roman" w:cs="Arial"/>
          <w:u w:val="single"/>
          <w:lang w:eastAsia="cs-CZ"/>
        </w:rPr>
        <w:t xml:space="preserve"> města Zlína</w:t>
      </w:r>
    </w:p>
    <w:p w14:paraId="73239246"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Bude využit stávající dopravní model města Zlína. Tento model bude aktualizován o novou dopravní síť a změny na síti (nejzásadnější změny jsou Okružní křižovatka na Příjezdu od Fryštáku, nová okružní křižovatka na </w:t>
      </w:r>
      <w:proofErr w:type="spellStart"/>
      <w:r w:rsidRPr="001317E6">
        <w:rPr>
          <w:rFonts w:eastAsia="Times New Roman" w:cs="Arial"/>
          <w:lang w:eastAsia="cs-CZ"/>
        </w:rPr>
        <w:t>Kocandě</w:t>
      </w:r>
      <w:proofErr w:type="spellEnd"/>
      <w:r>
        <w:rPr>
          <w:rFonts w:eastAsia="Times New Roman" w:cs="Arial"/>
          <w:lang w:eastAsia="cs-CZ"/>
        </w:rPr>
        <w:t>,</w:t>
      </w:r>
      <w:r w:rsidRPr="001317E6">
        <w:rPr>
          <w:rFonts w:eastAsia="Times New Roman" w:cs="Arial"/>
          <w:lang w:eastAsia="cs-CZ"/>
        </w:rPr>
        <w:t xml:space="preserve"> nová světelná křižovatka Mostní x Březnická, nové mimoúrovňové křížení Příluk, vedení dálnice D55 kolem Otrokovic). Současně bude do modelu doplněna generovaná doprava z územního rozvoje do současnosti na katastru města Zlína. </w:t>
      </w:r>
    </w:p>
    <w:p w14:paraId="36AF8E60"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Model bude následně kalibrován za použití průzkumů provedených v rámci provedeného </w:t>
      </w:r>
      <w:proofErr w:type="spellStart"/>
      <w:r w:rsidRPr="001317E6">
        <w:rPr>
          <w:rFonts w:eastAsia="Times New Roman" w:cs="Arial"/>
          <w:lang w:eastAsia="cs-CZ"/>
        </w:rPr>
        <w:t>SUMpu</w:t>
      </w:r>
      <w:proofErr w:type="spellEnd"/>
      <w:r w:rsidRPr="001317E6">
        <w:rPr>
          <w:rFonts w:eastAsia="Times New Roman" w:cs="Arial"/>
          <w:lang w:eastAsia="cs-CZ"/>
        </w:rPr>
        <w:t xml:space="preserve"> města Zlína a za použití dat ze sčítání ŘSD. Pro kalibraci je také možné využít data ze sčítacích smyček světelně řízených křižovatek, které má k dispozici město Zlín.</w:t>
      </w:r>
    </w:p>
    <w:p w14:paraId="07F5D7F6" w14:textId="77777777" w:rsidR="00EF78DF" w:rsidRPr="001317E6" w:rsidRDefault="00EF78DF" w:rsidP="00EF78DF">
      <w:pPr>
        <w:spacing w:after="0" w:line="240" w:lineRule="auto"/>
        <w:rPr>
          <w:rFonts w:eastAsia="Times New Roman" w:cs="Arial"/>
          <w:lang w:eastAsia="cs-CZ"/>
        </w:rPr>
      </w:pPr>
    </w:p>
    <w:p w14:paraId="7D6ABF19" w14:textId="77777777" w:rsidR="00EF78DF" w:rsidRPr="003C25AF" w:rsidRDefault="00EF78DF" w:rsidP="00EF78DF">
      <w:pPr>
        <w:pStyle w:val="Odstavecseseznamem"/>
        <w:numPr>
          <w:ilvl w:val="0"/>
          <w:numId w:val="42"/>
        </w:numPr>
        <w:spacing w:after="0" w:line="240" w:lineRule="auto"/>
        <w:rPr>
          <w:rFonts w:eastAsia="Times New Roman" w:cs="Arial"/>
          <w:u w:val="single"/>
          <w:lang w:eastAsia="cs-CZ"/>
        </w:rPr>
      </w:pPr>
      <w:r w:rsidRPr="003C25AF">
        <w:rPr>
          <w:rFonts w:eastAsia="Times New Roman" w:cs="Arial"/>
          <w:u w:val="single"/>
          <w:lang w:eastAsia="cs-CZ"/>
        </w:rPr>
        <w:t xml:space="preserve">Zpracování dopravních schémat zásadních uzavírek dopravy na dopravně významném skeletu města dle průběhu </w:t>
      </w:r>
      <w:r>
        <w:rPr>
          <w:rFonts w:eastAsia="Times New Roman" w:cs="Arial"/>
          <w:u w:val="single"/>
          <w:lang w:eastAsia="cs-CZ"/>
        </w:rPr>
        <w:t>Z</w:t>
      </w:r>
      <w:r w:rsidRPr="003C25AF">
        <w:rPr>
          <w:rFonts w:eastAsia="Times New Roman" w:cs="Arial"/>
          <w:u w:val="single"/>
          <w:lang w:eastAsia="cs-CZ"/>
        </w:rPr>
        <w:t>OV</w:t>
      </w:r>
    </w:p>
    <w:p w14:paraId="03320DE8"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Na základě objednatelem předaného </w:t>
      </w:r>
      <w:r>
        <w:rPr>
          <w:rFonts w:eastAsia="Times New Roman" w:cs="Arial"/>
          <w:lang w:eastAsia="cs-CZ"/>
        </w:rPr>
        <w:t>Z</w:t>
      </w:r>
      <w:r w:rsidRPr="001317E6">
        <w:rPr>
          <w:rFonts w:eastAsia="Times New Roman" w:cs="Arial"/>
          <w:lang w:eastAsia="cs-CZ"/>
        </w:rPr>
        <w:t>OV výstavby železnice, budou definovány dopravní režimy v místech zásadních dopravních omezeních.</w:t>
      </w:r>
    </w:p>
    <w:p w14:paraId="324C3F72"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Předpokládají se tyto lokality: </w:t>
      </w:r>
      <w:proofErr w:type="spellStart"/>
      <w:r w:rsidRPr="001317E6">
        <w:rPr>
          <w:rFonts w:eastAsia="Times New Roman" w:cs="Arial"/>
          <w:lang w:eastAsia="cs-CZ"/>
        </w:rPr>
        <w:t>Kvítkovická</w:t>
      </w:r>
      <w:proofErr w:type="spellEnd"/>
      <w:r w:rsidRPr="001317E6">
        <w:rPr>
          <w:rFonts w:eastAsia="Times New Roman" w:cs="Arial"/>
          <w:lang w:eastAsia="cs-CZ"/>
        </w:rPr>
        <w:t xml:space="preserve"> křižovatka, Křižovatka Louky Terno, Křižovatka </w:t>
      </w:r>
      <w:proofErr w:type="spellStart"/>
      <w:r w:rsidRPr="001317E6">
        <w:rPr>
          <w:rFonts w:eastAsia="Times New Roman" w:cs="Arial"/>
          <w:lang w:eastAsia="cs-CZ"/>
        </w:rPr>
        <w:t>Prštenská</w:t>
      </w:r>
      <w:proofErr w:type="spellEnd"/>
      <w:r w:rsidRPr="001317E6">
        <w:rPr>
          <w:rFonts w:eastAsia="Times New Roman" w:cs="Arial"/>
          <w:lang w:eastAsia="cs-CZ"/>
        </w:rPr>
        <w:t xml:space="preserve"> příčka, Výstavba mostu na ulici Dlouhá, Křižovatka </w:t>
      </w:r>
      <w:proofErr w:type="spellStart"/>
      <w:r w:rsidRPr="001317E6">
        <w:rPr>
          <w:rFonts w:eastAsia="Times New Roman" w:cs="Arial"/>
          <w:lang w:eastAsia="cs-CZ"/>
        </w:rPr>
        <w:t>Podvesná</w:t>
      </w:r>
      <w:proofErr w:type="spellEnd"/>
      <w:r w:rsidRPr="001317E6">
        <w:rPr>
          <w:rFonts w:eastAsia="Times New Roman" w:cs="Arial"/>
          <w:lang w:eastAsia="cs-CZ"/>
        </w:rPr>
        <w:t xml:space="preserve"> XVII.</w:t>
      </w:r>
    </w:p>
    <w:p w14:paraId="322ABACE" w14:textId="77777777" w:rsidR="00EF78DF" w:rsidRPr="001317E6" w:rsidRDefault="00EF78DF" w:rsidP="00EF78DF">
      <w:pPr>
        <w:spacing w:after="0" w:line="240" w:lineRule="auto"/>
        <w:rPr>
          <w:rFonts w:eastAsia="Times New Roman" w:cs="Arial"/>
          <w:lang w:eastAsia="cs-CZ"/>
        </w:rPr>
      </w:pPr>
    </w:p>
    <w:p w14:paraId="2C4D38C5"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Zpracovatel ve spolupráci se zpracovatelem </w:t>
      </w:r>
      <w:r>
        <w:rPr>
          <w:rFonts w:eastAsia="Times New Roman" w:cs="Arial"/>
          <w:lang w:eastAsia="cs-CZ"/>
        </w:rPr>
        <w:t>Z</w:t>
      </w:r>
      <w:r w:rsidRPr="001317E6">
        <w:rPr>
          <w:rFonts w:eastAsia="Times New Roman" w:cs="Arial"/>
          <w:lang w:eastAsia="cs-CZ"/>
        </w:rPr>
        <w:t xml:space="preserve">OV projde dokumentaci </w:t>
      </w:r>
      <w:r>
        <w:rPr>
          <w:rFonts w:eastAsia="Times New Roman" w:cs="Arial"/>
          <w:lang w:eastAsia="cs-CZ"/>
        </w:rPr>
        <w:t>Z</w:t>
      </w:r>
      <w:r w:rsidRPr="001317E6">
        <w:rPr>
          <w:rFonts w:eastAsia="Times New Roman" w:cs="Arial"/>
          <w:lang w:eastAsia="cs-CZ"/>
        </w:rPr>
        <w:t xml:space="preserve">OV a zaměří se zejména na výše zmíněné lokality. Následně z detailního </w:t>
      </w:r>
      <w:r>
        <w:rPr>
          <w:rFonts w:eastAsia="Times New Roman" w:cs="Arial"/>
          <w:lang w:eastAsia="cs-CZ"/>
        </w:rPr>
        <w:t>Z</w:t>
      </w:r>
      <w:r w:rsidRPr="001317E6">
        <w:rPr>
          <w:rFonts w:eastAsia="Times New Roman" w:cs="Arial"/>
          <w:lang w:eastAsia="cs-CZ"/>
        </w:rPr>
        <w:t>OV vytvoří dopravní fáze uzavírání komunikací v definovaných lokalitách. Předpokládají se 2 fáze u každé lokality + 2 rezervní. Celkem tedy 12 fází.</w:t>
      </w:r>
    </w:p>
    <w:p w14:paraId="29879F6E" w14:textId="77777777" w:rsidR="00EF78DF" w:rsidRPr="001317E6" w:rsidRDefault="00EF78DF" w:rsidP="00EF78DF">
      <w:pPr>
        <w:spacing w:after="0" w:line="240" w:lineRule="auto"/>
        <w:rPr>
          <w:rFonts w:eastAsia="Times New Roman" w:cs="Arial"/>
          <w:lang w:eastAsia="cs-CZ"/>
        </w:rPr>
      </w:pPr>
    </w:p>
    <w:p w14:paraId="52FC0BD6" w14:textId="77777777" w:rsidR="00EF78DF" w:rsidRPr="003C25AF" w:rsidRDefault="00EF78DF" w:rsidP="00EF78DF">
      <w:pPr>
        <w:pStyle w:val="Odstavecseseznamem"/>
        <w:numPr>
          <w:ilvl w:val="0"/>
          <w:numId w:val="42"/>
        </w:numPr>
        <w:spacing w:after="0" w:line="240" w:lineRule="auto"/>
        <w:rPr>
          <w:rFonts w:eastAsia="Times New Roman" w:cs="Arial"/>
          <w:u w:val="single"/>
          <w:lang w:eastAsia="cs-CZ"/>
        </w:rPr>
      </w:pPr>
      <w:r w:rsidRPr="003C25AF">
        <w:rPr>
          <w:rFonts w:eastAsia="Times New Roman" w:cs="Arial"/>
          <w:u w:val="single"/>
          <w:lang w:eastAsia="cs-CZ"/>
        </w:rPr>
        <w:t>Zpracování zátěžových stavů – předpoklad 12 modelových stavů</w:t>
      </w:r>
    </w:p>
    <w:p w14:paraId="2A5EF885"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Zpracovatel na základě zadání definovaného v bodu 3, provede úpravy dopravního modelu tak, aby byl schopen v širším okolí (v případě </w:t>
      </w:r>
      <w:proofErr w:type="spellStart"/>
      <w:r w:rsidRPr="001317E6">
        <w:rPr>
          <w:rFonts w:eastAsia="Times New Roman" w:cs="Arial"/>
          <w:lang w:eastAsia="cs-CZ"/>
        </w:rPr>
        <w:t>Prštenské</w:t>
      </w:r>
      <w:proofErr w:type="spellEnd"/>
      <w:r w:rsidRPr="001317E6">
        <w:rPr>
          <w:rFonts w:eastAsia="Times New Roman" w:cs="Arial"/>
          <w:lang w:eastAsia="cs-CZ"/>
        </w:rPr>
        <w:t xml:space="preserve"> příčky, ul. Dlouhé a </w:t>
      </w:r>
      <w:proofErr w:type="spellStart"/>
      <w:r w:rsidRPr="001317E6">
        <w:rPr>
          <w:rFonts w:eastAsia="Times New Roman" w:cs="Arial"/>
          <w:lang w:eastAsia="cs-CZ"/>
        </w:rPr>
        <w:t>Podvesné</w:t>
      </w:r>
      <w:proofErr w:type="spellEnd"/>
      <w:r w:rsidRPr="001317E6">
        <w:rPr>
          <w:rFonts w:eastAsia="Times New Roman" w:cs="Arial"/>
          <w:lang w:eastAsia="cs-CZ"/>
        </w:rPr>
        <w:t xml:space="preserve"> XVII se jedná o celé centrum) jednotlivých lokalit ilustrovat nárust a pokles dopravy na zátěžových digramech uliční sítě. Současně vyexportuje z dopravního modelu k jednotlivým zátěžovým stavům detailní křižovatkové pohyby, přilehlých křižovatek. Předpokládá se 25 exportovaných křižovatek.</w:t>
      </w:r>
    </w:p>
    <w:p w14:paraId="1870CFC0" w14:textId="77777777" w:rsidR="00EF78DF" w:rsidRPr="001317E6" w:rsidRDefault="00EF78DF" w:rsidP="00EF78DF">
      <w:pPr>
        <w:spacing w:after="0" w:line="240" w:lineRule="auto"/>
        <w:rPr>
          <w:rFonts w:eastAsia="Times New Roman" w:cs="Arial"/>
          <w:lang w:eastAsia="cs-CZ"/>
        </w:rPr>
      </w:pPr>
    </w:p>
    <w:p w14:paraId="3ADEAC87" w14:textId="77777777" w:rsidR="00EF78DF" w:rsidRDefault="00EF78DF" w:rsidP="00EF78DF">
      <w:pPr>
        <w:spacing w:after="0" w:line="240" w:lineRule="auto"/>
        <w:ind w:left="351"/>
        <w:rPr>
          <w:rFonts w:eastAsia="Times New Roman" w:cs="Arial"/>
          <w:u w:val="single"/>
          <w:lang w:eastAsia="cs-CZ"/>
        </w:rPr>
      </w:pPr>
      <w:r w:rsidRPr="00636583">
        <w:rPr>
          <w:rFonts w:eastAsia="Times New Roman" w:cs="Arial"/>
          <w:lang w:eastAsia="cs-CZ"/>
        </w:rPr>
        <w:t>5.1.</w:t>
      </w:r>
      <w:r w:rsidRPr="00636583">
        <w:rPr>
          <w:rFonts w:eastAsia="Times New Roman" w:cs="Arial"/>
          <w:u w:val="single"/>
          <w:lang w:eastAsia="cs-CZ"/>
        </w:rPr>
        <w:t xml:space="preserve"> Návrh optimalizace a doporučení ke zlepšení dopadu na IAD</w:t>
      </w:r>
    </w:p>
    <w:p w14:paraId="0B8D7E3A" w14:textId="77777777" w:rsidR="00EF78DF" w:rsidRDefault="00EF78DF" w:rsidP="00EF78DF">
      <w:pPr>
        <w:spacing w:after="0" w:line="240" w:lineRule="auto"/>
        <w:ind w:left="351"/>
        <w:rPr>
          <w:rFonts w:eastAsia="Times New Roman" w:cs="Arial"/>
          <w:u w:val="single"/>
          <w:lang w:eastAsia="cs-CZ"/>
        </w:rPr>
      </w:pPr>
    </w:p>
    <w:p w14:paraId="4E303FFA" w14:textId="77777777" w:rsidR="00EF78DF" w:rsidRPr="00636583" w:rsidRDefault="00EF78DF" w:rsidP="00EF78DF">
      <w:pPr>
        <w:spacing w:after="0" w:line="240" w:lineRule="auto"/>
        <w:ind w:left="351"/>
        <w:rPr>
          <w:rFonts w:eastAsia="Times New Roman" w:cs="Arial"/>
          <w:u w:val="single"/>
          <w:lang w:eastAsia="cs-CZ"/>
        </w:rPr>
      </w:pPr>
      <w:r w:rsidRPr="00636583">
        <w:rPr>
          <w:rFonts w:eastAsia="Times New Roman" w:cs="Arial"/>
          <w:lang w:eastAsia="cs-CZ"/>
        </w:rPr>
        <w:t>5.2.</w:t>
      </w:r>
      <w:r w:rsidRPr="00636583">
        <w:rPr>
          <w:rFonts w:eastAsia="Times New Roman" w:cs="Arial"/>
          <w:u w:val="single"/>
          <w:lang w:eastAsia="cs-CZ"/>
        </w:rPr>
        <w:t xml:space="preserve"> Kapacitní posouzení křižovatkových uzlů – předpoklad 25x posouzení</w:t>
      </w:r>
    </w:p>
    <w:p w14:paraId="2C13298C"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Data získaná v bodě 4 zpracovatel použije pro kapacitní posouzení křižovatkových uzlů.</w:t>
      </w:r>
    </w:p>
    <w:p w14:paraId="762D9D86"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Předpokládá se provedení 25x kapacitních posouzení křižovatkových uzlů.</w:t>
      </w:r>
    </w:p>
    <w:p w14:paraId="4F010A53"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t xml:space="preserve">V případě, že dojde k překročení kapacity křižovatky, zpracovatel navrhne opatření na dopravní síti formou úpravy </w:t>
      </w:r>
      <w:proofErr w:type="spellStart"/>
      <w:r w:rsidRPr="001317E6">
        <w:rPr>
          <w:rFonts w:eastAsia="Times New Roman" w:cs="Arial"/>
          <w:lang w:eastAsia="cs-CZ"/>
        </w:rPr>
        <w:t>vdz</w:t>
      </w:r>
      <w:proofErr w:type="spellEnd"/>
      <w:r w:rsidRPr="001317E6">
        <w:rPr>
          <w:rFonts w:eastAsia="Times New Roman" w:cs="Arial"/>
          <w:lang w:eastAsia="cs-CZ"/>
        </w:rPr>
        <w:t xml:space="preserve">, </w:t>
      </w:r>
      <w:proofErr w:type="spellStart"/>
      <w:r w:rsidRPr="001317E6">
        <w:rPr>
          <w:rFonts w:eastAsia="Times New Roman" w:cs="Arial"/>
          <w:lang w:eastAsia="cs-CZ"/>
        </w:rPr>
        <w:t>sdz</w:t>
      </w:r>
      <w:proofErr w:type="spellEnd"/>
      <w:r w:rsidRPr="001317E6">
        <w:rPr>
          <w:rFonts w:eastAsia="Times New Roman" w:cs="Arial"/>
          <w:lang w:eastAsia="cs-CZ"/>
        </w:rPr>
        <w:t>, případně změnou řízení SSZ, případně drobnou stavební úpravu. Navržené změny musí být ekonomicky akceptovatelné s ohledem na dobu trvání případného přetížení vyvolané dočasnou změnou. Předpoklad opatření 12 návrhů.</w:t>
      </w:r>
    </w:p>
    <w:p w14:paraId="75F5FAAD" w14:textId="77777777" w:rsidR="00EF78DF" w:rsidRPr="001317E6" w:rsidRDefault="00EF78DF" w:rsidP="00EF78DF">
      <w:pPr>
        <w:spacing w:after="0" w:line="240" w:lineRule="auto"/>
        <w:rPr>
          <w:rFonts w:eastAsia="Times New Roman" w:cs="Arial"/>
          <w:lang w:eastAsia="cs-CZ"/>
        </w:rPr>
      </w:pPr>
    </w:p>
    <w:p w14:paraId="789EA798" w14:textId="77777777" w:rsidR="00EF78DF" w:rsidRPr="00636583" w:rsidRDefault="00EF78DF" w:rsidP="00EF78DF">
      <w:pPr>
        <w:pStyle w:val="Odstavecseseznamem"/>
        <w:numPr>
          <w:ilvl w:val="0"/>
          <w:numId w:val="43"/>
        </w:numPr>
        <w:spacing w:after="0" w:line="240" w:lineRule="auto"/>
        <w:rPr>
          <w:rFonts w:eastAsia="Times New Roman" w:cs="Arial"/>
          <w:u w:val="single"/>
          <w:lang w:eastAsia="cs-CZ"/>
        </w:rPr>
      </w:pPr>
      <w:proofErr w:type="gramStart"/>
      <w:r w:rsidRPr="00636583">
        <w:rPr>
          <w:rFonts w:eastAsia="Times New Roman" w:cs="Arial"/>
          <w:u w:val="single"/>
          <w:lang w:eastAsia="cs-CZ"/>
        </w:rPr>
        <w:t>OPCE - Nad</w:t>
      </w:r>
      <w:proofErr w:type="gramEnd"/>
      <w:r w:rsidRPr="00636583">
        <w:rPr>
          <w:rFonts w:eastAsia="Times New Roman" w:cs="Arial"/>
          <w:u w:val="single"/>
          <w:lang w:eastAsia="cs-CZ"/>
        </w:rPr>
        <w:t xml:space="preserve"> rámec zadání definovaného v bodech 4 a 5 zadavatel požaduje</w:t>
      </w:r>
    </w:p>
    <w:p w14:paraId="79907005" w14:textId="77777777" w:rsidR="00EF78DF" w:rsidRPr="001317E6" w:rsidRDefault="00EF78DF" w:rsidP="00EF78DF">
      <w:pPr>
        <w:spacing w:after="0" w:line="240" w:lineRule="auto"/>
        <w:rPr>
          <w:rFonts w:eastAsia="Times New Roman" w:cs="Arial"/>
          <w:lang w:eastAsia="cs-CZ"/>
        </w:rPr>
      </w:pPr>
      <w:r w:rsidRPr="001317E6">
        <w:rPr>
          <w:rFonts w:eastAsia="Times New Roman" w:cs="Arial"/>
          <w:lang w:eastAsia="cs-CZ"/>
        </w:rPr>
        <w:lastRenderedPageBreak/>
        <w:t>a)</w:t>
      </w:r>
      <w:r>
        <w:rPr>
          <w:rFonts w:eastAsia="Times New Roman" w:cs="Arial"/>
          <w:lang w:eastAsia="cs-CZ"/>
        </w:rPr>
        <w:t xml:space="preserve"> </w:t>
      </w:r>
      <w:r w:rsidRPr="001317E6">
        <w:rPr>
          <w:rFonts w:eastAsia="Times New Roman" w:cs="Arial"/>
          <w:lang w:eastAsia="cs-CZ"/>
        </w:rPr>
        <w:t>zpracování 3 zátěžových stavů průměrné velikosti obsaženého v zadání a export 9 křižovatkových pohybů</w:t>
      </w:r>
    </w:p>
    <w:p w14:paraId="35266F1F" w14:textId="77777777" w:rsidR="00EF78DF" w:rsidRPr="00500FE7" w:rsidRDefault="00EF78DF" w:rsidP="00EF78DF">
      <w:pPr>
        <w:spacing w:after="0" w:line="240" w:lineRule="auto"/>
        <w:rPr>
          <w:rFonts w:eastAsia="Times New Roman" w:cs="Arial"/>
          <w:lang w:eastAsia="cs-CZ"/>
        </w:rPr>
      </w:pPr>
      <w:r w:rsidRPr="001317E6">
        <w:rPr>
          <w:rFonts w:eastAsia="Times New Roman" w:cs="Arial"/>
          <w:lang w:eastAsia="cs-CZ"/>
        </w:rPr>
        <w:t>b)</w:t>
      </w:r>
      <w:r>
        <w:rPr>
          <w:rFonts w:eastAsia="Times New Roman" w:cs="Arial"/>
          <w:lang w:eastAsia="cs-CZ"/>
        </w:rPr>
        <w:t xml:space="preserve"> </w:t>
      </w:r>
      <w:r w:rsidRPr="001317E6">
        <w:rPr>
          <w:rFonts w:eastAsia="Times New Roman" w:cs="Arial"/>
          <w:lang w:eastAsia="cs-CZ"/>
        </w:rPr>
        <w:t>kapacitní posouzení křižovatkových uzlů – 9x</w:t>
      </w:r>
      <w:r>
        <w:rPr>
          <w:rFonts w:eastAsia="Times New Roman" w:cs="Arial"/>
          <w:lang w:eastAsia="cs-CZ"/>
        </w:rPr>
        <w:t>.</w:t>
      </w:r>
    </w:p>
    <w:p w14:paraId="1C3A7819" w14:textId="1E81C31E" w:rsidR="00F1246E" w:rsidRPr="00F1246E" w:rsidRDefault="00F1246E" w:rsidP="00F1246E">
      <w:pPr>
        <w:pStyle w:val="Textbezodsazen"/>
      </w:pP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33524C88" w14:textId="6EEBEA41" w:rsidR="00EF78DF" w:rsidRPr="00B503A0" w:rsidRDefault="00EF78DF" w:rsidP="00EF78DF">
      <w:pPr>
        <w:spacing w:after="0" w:line="240" w:lineRule="auto"/>
        <w:jc w:val="both"/>
        <w:rPr>
          <w:rFonts w:eastAsia="Times New Roman" w:cs="Arial"/>
          <w:lang w:eastAsia="cs-CZ"/>
        </w:rPr>
      </w:pPr>
      <w:r w:rsidRPr="00B503A0">
        <w:rPr>
          <w:rFonts w:eastAsia="Times New Roman" w:cs="Arial"/>
          <w:lang w:eastAsia="cs-CZ"/>
        </w:rPr>
        <w:t xml:space="preserve">Jednotlivé prvky předmětu plnění dle </w:t>
      </w:r>
      <w:r w:rsidRPr="00296FE9">
        <w:rPr>
          <w:rFonts w:eastAsia="Times New Roman" w:cs="Arial"/>
          <w:lang w:eastAsia="cs-CZ"/>
        </w:rPr>
        <w:t>Přílohy č. 1 této Smlouvy</w:t>
      </w:r>
      <w:r>
        <w:rPr>
          <w:rFonts w:eastAsia="Times New Roman" w:cs="Arial"/>
          <w:lang w:eastAsia="cs-CZ"/>
        </w:rPr>
        <w:t xml:space="preserve"> </w:t>
      </w:r>
      <w:r w:rsidRPr="00B503A0">
        <w:rPr>
          <w:rFonts w:eastAsia="Times New Roman" w:cs="Arial"/>
          <w:lang w:eastAsia="cs-CZ"/>
        </w:rPr>
        <w:t>především ve formě fyzicky pořízeného výsledku (zpráva, vyjádření, stanovisko, protokol), budou předány objednateli:</w:t>
      </w:r>
    </w:p>
    <w:p w14:paraId="774ED359" w14:textId="77777777" w:rsidR="00EF78DF" w:rsidRPr="00B503A0" w:rsidRDefault="00EF78DF" w:rsidP="00EF78DF">
      <w:pPr>
        <w:numPr>
          <w:ilvl w:val="0"/>
          <w:numId w:val="44"/>
        </w:numPr>
        <w:spacing w:after="0" w:line="240" w:lineRule="auto"/>
        <w:ind w:left="426"/>
        <w:jc w:val="both"/>
        <w:rPr>
          <w:rFonts w:eastAsia="Times New Roman" w:cs="Arial"/>
          <w:lang w:eastAsia="cs-CZ"/>
        </w:rPr>
      </w:pPr>
      <w:r w:rsidRPr="00B503A0">
        <w:rPr>
          <w:rFonts w:eastAsia="Times New Roman" w:cs="Arial"/>
          <w:lang w:eastAsia="cs-CZ"/>
        </w:rPr>
        <w:t>v </w:t>
      </w:r>
      <w:r w:rsidRPr="00A52877">
        <w:rPr>
          <w:rFonts w:eastAsia="Times New Roman" w:cs="Arial"/>
          <w:lang w:eastAsia="cs-CZ"/>
        </w:rPr>
        <w:t>tištěné</w:t>
      </w:r>
      <w:r w:rsidRPr="00B503A0">
        <w:rPr>
          <w:rFonts w:eastAsia="Times New Roman" w:cs="Arial"/>
          <w:lang w:eastAsia="cs-CZ"/>
        </w:rPr>
        <w:t xml:space="preserve"> listinné podobě vždy nejméně ve </w:t>
      </w:r>
      <w:r w:rsidRPr="00B503A0">
        <w:rPr>
          <w:rFonts w:eastAsia="Times New Roman" w:cs="Arial"/>
          <w:b/>
          <w:lang w:eastAsia="cs-CZ"/>
        </w:rPr>
        <w:t>2 vyhotoveních</w:t>
      </w:r>
    </w:p>
    <w:p w14:paraId="1A780F52" w14:textId="260EE449" w:rsidR="003532A1" w:rsidRDefault="00EF78DF" w:rsidP="00EF78DF">
      <w:pPr>
        <w:numPr>
          <w:ilvl w:val="0"/>
          <w:numId w:val="44"/>
        </w:numPr>
        <w:spacing w:after="0" w:line="240" w:lineRule="auto"/>
        <w:ind w:left="426"/>
        <w:jc w:val="both"/>
      </w:pPr>
      <w:r w:rsidRPr="00B503A0">
        <w:rPr>
          <w:rFonts w:eastAsia="Times New Roman" w:cs="Arial"/>
          <w:lang w:eastAsia="cs-CZ"/>
        </w:rPr>
        <w:t>v digitální elektronické formě na elektronickém nosiči</w:t>
      </w:r>
      <w:r>
        <w:rPr>
          <w:rFonts w:eastAsia="Times New Roman" w:cs="Arial"/>
          <w:lang w:eastAsia="cs-CZ"/>
        </w:rPr>
        <w:t xml:space="preserve"> USB-C</w:t>
      </w:r>
      <w:r w:rsidRPr="00B503A0">
        <w:rPr>
          <w:rFonts w:eastAsia="Times New Roman" w:cs="Arial"/>
          <w:lang w:eastAsia="cs-CZ"/>
        </w:rPr>
        <w:t xml:space="preserve"> </w:t>
      </w:r>
      <w:r w:rsidRPr="002B71E0">
        <w:rPr>
          <w:rFonts w:eastAsia="Times New Roman" w:cs="Arial"/>
          <w:b/>
          <w:bCs/>
          <w:lang w:eastAsia="cs-CZ"/>
        </w:rPr>
        <w:t>v 1 vyhotovení</w:t>
      </w:r>
      <w:r w:rsidRPr="00B503A0">
        <w:rPr>
          <w:rFonts w:eastAsia="Times New Roman" w:cs="Arial"/>
          <w:lang w:eastAsia="cs-CZ"/>
        </w:rPr>
        <w:t xml:space="preserve"> v dohodnutém editovatelném formátu </w:t>
      </w:r>
      <w:r>
        <w:rPr>
          <w:rFonts w:eastAsia="Times New Roman" w:cs="Arial"/>
          <w:lang w:eastAsia="cs-CZ"/>
        </w:rPr>
        <w:t>a uzavřeném formátu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20826A40" w:rsidR="00124751" w:rsidRDefault="003532A1" w:rsidP="00124751">
      <w:pPr>
        <w:pStyle w:val="Nadpisbezsl1-2"/>
      </w:pPr>
      <w:r>
        <w:t>OP</w:t>
      </w:r>
      <w:r w:rsidR="00EF78DF">
        <w:t xml:space="preserve"> </w:t>
      </w:r>
      <w:r>
        <w:t>SSV/</w:t>
      </w:r>
      <w:r w:rsidR="00EF78DF">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3BBE4D6F"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10"/>
        <w:gridCol w:w="2896"/>
        <w:gridCol w:w="2896"/>
      </w:tblGrid>
      <w:tr w:rsidR="00236DCC" w:rsidRPr="00236DCC" w14:paraId="16337C17" w14:textId="77777777" w:rsidTr="00EF78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EF78DF">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14:paraId="1F6C4BD0" w14:textId="77777777" w:rsidTr="00EF78DF">
        <w:tc>
          <w:tcPr>
            <w:cnfStyle w:val="001000000000" w:firstRow="0" w:lastRow="0" w:firstColumn="1" w:lastColumn="0" w:oddVBand="0" w:evenVBand="0" w:oddHBand="0" w:evenHBand="0" w:firstRowFirstColumn="0" w:firstRowLastColumn="0" w:lastRowFirstColumn="0" w:lastRowLastColumn="0"/>
            <w:tcW w:w="8702" w:type="dxa"/>
            <w:gridSpan w:val="3"/>
          </w:tcPr>
          <w:p w14:paraId="0FC99014" w14:textId="77777777" w:rsidR="00236DCC" w:rsidRPr="00377B53" w:rsidRDefault="00236DCC" w:rsidP="00377B53">
            <w:pPr>
              <w:pStyle w:val="Nadpisbezsl1-2"/>
            </w:pPr>
          </w:p>
          <w:p w14:paraId="5D6C1CFA" w14:textId="77777777" w:rsidR="00377B53" w:rsidRDefault="00377B53" w:rsidP="00377B53">
            <w:pPr>
              <w:pStyle w:val="Nadpisbezsl1-2"/>
            </w:pPr>
            <w:bookmarkStart w:id="0" w:name="_Hlk193875526"/>
            <w:r w:rsidRPr="00377B53">
              <w:t>Předpokládaný rozsah prací</w:t>
            </w:r>
          </w:p>
          <w:tbl>
            <w:tblPr>
              <w:tblW w:w="8485" w:type="dxa"/>
              <w:tblInd w:w="299" w:type="dxa"/>
              <w:tblLayout w:type="fixed"/>
              <w:tblCellMar>
                <w:left w:w="0" w:type="dxa"/>
                <w:right w:w="0" w:type="dxa"/>
              </w:tblCellMar>
              <w:tblLook w:val="04A0" w:firstRow="1" w:lastRow="0" w:firstColumn="1" w:lastColumn="0" w:noHBand="0" w:noVBand="1"/>
            </w:tblPr>
            <w:tblGrid>
              <w:gridCol w:w="2957"/>
              <w:gridCol w:w="1373"/>
              <w:gridCol w:w="895"/>
              <w:gridCol w:w="1621"/>
              <w:gridCol w:w="1639"/>
            </w:tblGrid>
            <w:tr w:rsidR="00377B53" w:rsidRPr="005D78BD" w14:paraId="06985A3D" w14:textId="77777777" w:rsidTr="00377B53">
              <w:trPr>
                <w:trHeight w:val="55"/>
              </w:trPr>
              <w:tc>
                <w:tcPr>
                  <w:tcW w:w="295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73FDA18" w14:textId="77777777" w:rsidR="00377B53" w:rsidRPr="005D78BD" w:rsidRDefault="00377B53" w:rsidP="00377B53">
                  <w:pPr>
                    <w:spacing w:line="276" w:lineRule="auto"/>
                    <w:jc w:val="both"/>
                    <w:rPr>
                      <w:rFonts w:cs="Arial"/>
                    </w:rPr>
                  </w:pPr>
                  <w:r w:rsidRPr="005D78BD">
                    <w:rPr>
                      <w:rFonts w:cs="Arial"/>
                    </w:rPr>
                    <w:t>Činnost</w:t>
                  </w:r>
                </w:p>
              </w:tc>
              <w:tc>
                <w:tcPr>
                  <w:tcW w:w="1373" w:type="dxa"/>
                  <w:tcBorders>
                    <w:top w:val="single" w:sz="4" w:space="0" w:color="auto"/>
                    <w:left w:val="nil"/>
                    <w:bottom w:val="single" w:sz="4" w:space="0" w:color="auto"/>
                    <w:right w:val="single" w:sz="4" w:space="0" w:color="auto"/>
                  </w:tcBorders>
                  <w:hideMark/>
                </w:tcPr>
                <w:p w14:paraId="679ECF1D" w14:textId="77777777" w:rsidR="00377B53" w:rsidRPr="005D78BD" w:rsidRDefault="00377B53" w:rsidP="00377B53">
                  <w:pPr>
                    <w:spacing w:line="276" w:lineRule="auto"/>
                    <w:jc w:val="both"/>
                    <w:rPr>
                      <w:rFonts w:cs="Arial"/>
                    </w:rPr>
                  </w:pPr>
                  <w:r w:rsidRPr="005D78BD">
                    <w:rPr>
                      <w:rFonts w:cs="Arial"/>
                    </w:rPr>
                    <w:t>Jednotky</w:t>
                  </w:r>
                </w:p>
              </w:tc>
              <w:tc>
                <w:tcPr>
                  <w:tcW w:w="89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27C8A3D" w14:textId="77777777" w:rsidR="00377B53" w:rsidRPr="005D78BD" w:rsidRDefault="00377B53" w:rsidP="00377B53">
                  <w:pPr>
                    <w:spacing w:line="276" w:lineRule="auto"/>
                    <w:jc w:val="both"/>
                    <w:rPr>
                      <w:rFonts w:cs="Arial"/>
                    </w:rPr>
                  </w:pPr>
                  <w:r w:rsidRPr="005D78BD">
                    <w:rPr>
                      <w:rFonts w:cs="Arial"/>
                    </w:rPr>
                    <w:t>Počet jednotek</w:t>
                  </w:r>
                </w:p>
              </w:tc>
              <w:tc>
                <w:tcPr>
                  <w:tcW w:w="162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ED025EC" w14:textId="77777777" w:rsidR="00377B53" w:rsidRPr="005D78BD" w:rsidRDefault="00377B53" w:rsidP="00377B53">
                  <w:pPr>
                    <w:spacing w:line="276" w:lineRule="auto"/>
                    <w:jc w:val="both"/>
                    <w:rPr>
                      <w:rFonts w:cs="Arial"/>
                    </w:rPr>
                  </w:pPr>
                  <w:r w:rsidRPr="005D78BD">
                    <w:rPr>
                      <w:rFonts w:cs="Arial"/>
                    </w:rPr>
                    <w:t>Jednotková cena</w:t>
                  </w:r>
                </w:p>
              </w:tc>
              <w:tc>
                <w:tcPr>
                  <w:tcW w:w="163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624B8774" w14:textId="77777777" w:rsidR="00377B53" w:rsidRPr="005D78BD" w:rsidRDefault="00377B53" w:rsidP="00377B53">
                  <w:pPr>
                    <w:spacing w:line="276" w:lineRule="auto"/>
                    <w:jc w:val="both"/>
                    <w:rPr>
                      <w:rFonts w:cs="Arial"/>
                    </w:rPr>
                  </w:pPr>
                  <w:r w:rsidRPr="005D78BD">
                    <w:rPr>
                      <w:rFonts w:cs="Arial"/>
                    </w:rPr>
                    <w:t>Celková cena</w:t>
                  </w:r>
                </w:p>
              </w:tc>
            </w:tr>
            <w:tr w:rsidR="00377B53" w:rsidRPr="005D78BD" w14:paraId="0052F3A4"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1DCA9B9F" w14:textId="77777777" w:rsidR="00377B53" w:rsidRPr="005D78BD" w:rsidRDefault="00377B53" w:rsidP="00377B53">
                  <w:pPr>
                    <w:spacing w:line="276" w:lineRule="auto"/>
                    <w:rPr>
                      <w:rFonts w:cs="Arial"/>
                    </w:rPr>
                  </w:pPr>
                  <w:r w:rsidRPr="005D78BD">
                    <w:rPr>
                      <w:rFonts w:cs="Arial"/>
                    </w:rPr>
                    <w:t>1. Zpracování modelu Otrokovic a související dopravní průzkumy</w:t>
                  </w:r>
                </w:p>
              </w:tc>
              <w:tc>
                <w:tcPr>
                  <w:tcW w:w="1373" w:type="dxa"/>
                  <w:tcBorders>
                    <w:top w:val="single" w:sz="4" w:space="0" w:color="auto"/>
                    <w:left w:val="nil"/>
                    <w:bottom w:val="single" w:sz="4" w:space="0" w:color="auto"/>
                    <w:right w:val="single" w:sz="4" w:space="0" w:color="auto"/>
                  </w:tcBorders>
                  <w:hideMark/>
                </w:tcPr>
                <w:p w14:paraId="00C0E4DA" w14:textId="77777777" w:rsidR="00377B53" w:rsidRPr="005D78BD" w:rsidRDefault="00377B53" w:rsidP="00377B53">
                  <w:pPr>
                    <w:spacing w:line="276" w:lineRule="auto"/>
                    <w:jc w:val="center"/>
                    <w:rPr>
                      <w:rFonts w:cs="Arial"/>
                    </w:rPr>
                  </w:pPr>
                  <w:r w:rsidRPr="005D78BD">
                    <w:rPr>
                      <w:rFonts w:cs="Arial"/>
                    </w:rPr>
                    <w:t>KPL</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3183A9E" w14:textId="77777777" w:rsidR="00377B53" w:rsidRPr="005D78BD" w:rsidRDefault="00377B53" w:rsidP="00377B53">
                  <w:pPr>
                    <w:spacing w:line="276" w:lineRule="auto"/>
                    <w:jc w:val="center"/>
                    <w:rPr>
                      <w:rFonts w:cs="Arial"/>
                    </w:rPr>
                  </w:pPr>
                  <w:r w:rsidRPr="005D78BD">
                    <w:rPr>
                      <w:rFonts w:cs="Arial"/>
                    </w:rPr>
                    <w:t>1</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538D7473" w14:textId="532CE71D"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74B935D4" w14:textId="07C95E22" w:rsidR="00377B53" w:rsidRPr="005D78BD" w:rsidRDefault="00377B53" w:rsidP="00377B53">
                  <w:pPr>
                    <w:spacing w:line="276" w:lineRule="auto"/>
                    <w:jc w:val="right"/>
                    <w:rPr>
                      <w:rFonts w:cs="Arial"/>
                    </w:rPr>
                  </w:pPr>
                </w:p>
              </w:tc>
            </w:tr>
            <w:tr w:rsidR="00377B53" w:rsidRPr="005D78BD" w14:paraId="0FD87584"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959842B" w14:textId="77777777" w:rsidR="00377B53" w:rsidRPr="005D78BD" w:rsidRDefault="00377B53" w:rsidP="00377B53">
                  <w:pPr>
                    <w:spacing w:line="276" w:lineRule="auto"/>
                    <w:rPr>
                      <w:rFonts w:cs="Arial"/>
                    </w:rPr>
                  </w:pPr>
                  <w:r w:rsidRPr="005D78BD">
                    <w:rPr>
                      <w:rFonts w:cs="Arial"/>
                    </w:rPr>
                    <w:t>2. Aktualizace dopravní sítě a územního rozvoje města Zlína,</w:t>
                  </w:r>
                  <w:r w:rsidRPr="005D78BD">
                    <w:t xml:space="preserve"> </w:t>
                  </w:r>
                  <w:r w:rsidRPr="005D78BD">
                    <w:rPr>
                      <w:rFonts w:cs="Arial"/>
                    </w:rPr>
                    <w:t>kalibrace modelu Zlína</w:t>
                  </w:r>
                </w:p>
              </w:tc>
              <w:tc>
                <w:tcPr>
                  <w:tcW w:w="1373" w:type="dxa"/>
                  <w:tcBorders>
                    <w:top w:val="single" w:sz="4" w:space="0" w:color="auto"/>
                    <w:left w:val="nil"/>
                    <w:bottom w:val="single" w:sz="4" w:space="0" w:color="auto"/>
                    <w:right w:val="single" w:sz="4" w:space="0" w:color="auto"/>
                  </w:tcBorders>
                  <w:hideMark/>
                </w:tcPr>
                <w:p w14:paraId="4A3011D4" w14:textId="77777777" w:rsidR="00377B53" w:rsidRPr="005D78BD" w:rsidRDefault="00377B53" w:rsidP="00377B53">
                  <w:pPr>
                    <w:spacing w:line="276" w:lineRule="auto"/>
                    <w:jc w:val="center"/>
                    <w:rPr>
                      <w:rFonts w:cs="Arial"/>
                    </w:rPr>
                  </w:pPr>
                  <w:r w:rsidRPr="005D78BD">
                    <w:rPr>
                      <w:rFonts w:cs="Arial"/>
                    </w:rPr>
                    <w:t>KPL</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128E0AD" w14:textId="77777777" w:rsidR="00377B53" w:rsidRPr="005D78BD" w:rsidRDefault="00377B53" w:rsidP="00377B53">
                  <w:pPr>
                    <w:spacing w:line="276" w:lineRule="auto"/>
                    <w:jc w:val="center"/>
                    <w:rPr>
                      <w:rFonts w:cs="Arial"/>
                    </w:rPr>
                  </w:pPr>
                  <w:r w:rsidRPr="005D78BD">
                    <w:rPr>
                      <w:rFonts w:cs="Arial"/>
                    </w:rPr>
                    <w:t>1</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08402245" w14:textId="483FEC74"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1F6F673E" w14:textId="760F6919" w:rsidR="00377B53" w:rsidRPr="005D78BD" w:rsidRDefault="00377B53" w:rsidP="00377B53">
                  <w:pPr>
                    <w:spacing w:line="276" w:lineRule="auto"/>
                    <w:jc w:val="right"/>
                    <w:rPr>
                      <w:rFonts w:cs="Arial"/>
                    </w:rPr>
                  </w:pPr>
                </w:p>
              </w:tc>
            </w:tr>
            <w:tr w:rsidR="00377B53" w:rsidRPr="005D78BD" w14:paraId="64CEA30A"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E210112" w14:textId="77777777" w:rsidR="00377B53" w:rsidRPr="005D78BD" w:rsidRDefault="00377B53" w:rsidP="00377B53">
                  <w:pPr>
                    <w:spacing w:line="276" w:lineRule="auto"/>
                    <w:rPr>
                      <w:rFonts w:cs="Arial"/>
                    </w:rPr>
                  </w:pPr>
                  <w:r w:rsidRPr="005D78BD">
                    <w:rPr>
                      <w:rFonts w:cs="Arial"/>
                    </w:rPr>
                    <w:t>3.zpracování dopravních schémat zásadních uzavírek dle ZOV</w:t>
                  </w:r>
                </w:p>
              </w:tc>
              <w:tc>
                <w:tcPr>
                  <w:tcW w:w="1373" w:type="dxa"/>
                  <w:tcBorders>
                    <w:top w:val="single" w:sz="4" w:space="0" w:color="auto"/>
                    <w:left w:val="nil"/>
                    <w:bottom w:val="single" w:sz="4" w:space="0" w:color="auto"/>
                    <w:right w:val="single" w:sz="4" w:space="0" w:color="auto"/>
                  </w:tcBorders>
                </w:tcPr>
                <w:p w14:paraId="5333119D"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9379A76" w14:textId="77777777" w:rsidR="00377B53" w:rsidRPr="005D78BD" w:rsidRDefault="00377B53" w:rsidP="00377B53">
                  <w:pPr>
                    <w:spacing w:line="276" w:lineRule="auto"/>
                    <w:jc w:val="center"/>
                    <w:rPr>
                      <w:rFonts w:cs="Arial"/>
                    </w:rPr>
                  </w:pPr>
                  <w:r w:rsidRPr="005D78BD">
                    <w:rPr>
                      <w:rFonts w:cs="Arial"/>
                    </w:rPr>
                    <w:t>5</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152D8653" w14:textId="6EFAC545"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0E86CF62" w14:textId="575EE818" w:rsidR="00377B53" w:rsidRPr="005D78BD" w:rsidRDefault="00377B53" w:rsidP="00377B53">
                  <w:pPr>
                    <w:spacing w:line="276" w:lineRule="auto"/>
                    <w:jc w:val="right"/>
                    <w:rPr>
                      <w:rFonts w:cs="Arial"/>
                    </w:rPr>
                  </w:pPr>
                </w:p>
              </w:tc>
            </w:tr>
            <w:tr w:rsidR="00377B53" w:rsidRPr="005D78BD" w14:paraId="7359CAEB"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6519890" w14:textId="77777777" w:rsidR="00377B53" w:rsidRPr="005D78BD" w:rsidRDefault="00377B53" w:rsidP="00377B53">
                  <w:pPr>
                    <w:spacing w:line="276" w:lineRule="auto"/>
                    <w:rPr>
                      <w:rFonts w:cs="Arial"/>
                    </w:rPr>
                  </w:pPr>
                  <w:r w:rsidRPr="005D78BD">
                    <w:rPr>
                      <w:rFonts w:cs="Arial"/>
                    </w:rPr>
                    <w:t>4. zpracování zátěžových stavů</w:t>
                  </w:r>
                </w:p>
              </w:tc>
              <w:tc>
                <w:tcPr>
                  <w:tcW w:w="1373" w:type="dxa"/>
                  <w:tcBorders>
                    <w:top w:val="single" w:sz="4" w:space="0" w:color="auto"/>
                    <w:left w:val="nil"/>
                    <w:bottom w:val="single" w:sz="4" w:space="0" w:color="auto"/>
                    <w:right w:val="single" w:sz="4" w:space="0" w:color="auto"/>
                  </w:tcBorders>
                </w:tcPr>
                <w:p w14:paraId="6356B5A9"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083FD13" w14:textId="77777777" w:rsidR="00377B53" w:rsidRPr="005D78BD" w:rsidRDefault="00377B53" w:rsidP="00377B53">
                  <w:pPr>
                    <w:spacing w:line="276" w:lineRule="auto"/>
                    <w:jc w:val="center"/>
                    <w:rPr>
                      <w:rFonts w:cs="Arial"/>
                    </w:rPr>
                  </w:pPr>
                  <w:r w:rsidRPr="005D78BD">
                    <w:rPr>
                      <w:rFonts w:cs="Arial"/>
                    </w:rPr>
                    <w:t>12</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32906BDD" w14:textId="2972C098"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6986CC55" w14:textId="256EDF21" w:rsidR="00377B53" w:rsidRPr="005D78BD" w:rsidRDefault="00377B53" w:rsidP="00377B53">
                  <w:pPr>
                    <w:spacing w:line="276" w:lineRule="auto"/>
                    <w:jc w:val="right"/>
                    <w:rPr>
                      <w:rFonts w:cs="Arial"/>
                    </w:rPr>
                  </w:pPr>
                </w:p>
              </w:tc>
            </w:tr>
            <w:tr w:rsidR="00377B53" w:rsidRPr="005D78BD" w14:paraId="1C32457A"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6CA84BE" w14:textId="77777777" w:rsidR="00377B53" w:rsidRPr="005D78BD" w:rsidRDefault="00377B53" w:rsidP="00377B53">
                  <w:pPr>
                    <w:spacing w:line="276" w:lineRule="auto"/>
                    <w:rPr>
                      <w:rFonts w:cs="Arial"/>
                    </w:rPr>
                  </w:pPr>
                  <w:r w:rsidRPr="005D78BD">
                    <w:rPr>
                      <w:rFonts w:cs="Arial"/>
                    </w:rPr>
                    <w:t>5.1 Kapacitní posouzení</w:t>
                  </w:r>
                </w:p>
              </w:tc>
              <w:tc>
                <w:tcPr>
                  <w:tcW w:w="1373" w:type="dxa"/>
                  <w:tcBorders>
                    <w:top w:val="single" w:sz="4" w:space="0" w:color="auto"/>
                    <w:left w:val="nil"/>
                    <w:bottom w:val="single" w:sz="4" w:space="0" w:color="auto"/>
                    <w:right w:val="single" w:sz="4" w:space="0" w:color="auto"/>
                  </w:tcBorders>
                </w:tcPr>
                <w:p w14:paraId="3253521A"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1818A8F" w14:textId="77777777" w:rsidR="00377B53" w:rsidRPr="005D78BD" w:rsidRDefault="00377B53" w:rsidP="00377B53">
                  <w:pPr>
                    <w:spacing w:line="276" w:lineRule="auto"/>
                    <w:jc w:val="center"/>
                    <w:rPr>
                      <w:rFonts w:cs="Arial"/>
                    </w:rPr>
                  </w:pPr>
                  <w:r w:rsidRPr="005D78BD">
                    <w:rPr>
                      <w:rFonts w:cs="Arial"/>
                    </w:rPr>
                    <w:t>25</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21AD64FF" w14:textId="3F94DE1A"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14084456" w14:textId="32534543" w:rsidR="00377B53" w:rsidRPr="005D78BD" w:rsidRDefault="00377B53" w:rsidP="00377B53">
                  <w:pPr>
                    <w:spacing w:line="276" w:lineRule="auto"/>
                    <w:jc w:val="right"/>
                    <w:rPr>
                      <w:rFonts w:cs="Arial"/>
                    </w:rPr>
                  </w:pPr>
                </w:p>
              </w:tc>
            </w:tr>
            <w:tr w:rsidR="00377B53" w:rsidRPr="005D78BD" w14:paraId="13602947"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4FA00F91" w14:textId="77777777" w:rsidR="00377B53" w:rsidRPr="005D78BD" w:rsidRDefault="00377B53" w:rsidP="00377B53">
                  <w:pPr>
                    <w:spacing w:line="276" w:lineRule="auto"/>
                    <w:rPr>
                      <w:rFonts w:cs="Arial"/>
                    </w:rPr>
                  </w:pPr>
                  <w:r w:rsidRPr="005D78BD">
                    <w:rPr>
                      <w:rFonts w:cs="Arial"/>
                    </w:rPr>
                    <w:t>5.2 Návrh optimalizace a doporučení ke zlepšení dopadu na IAD</w:t>
                  </w:r>
                </w:p>
              </w:tc>
              <w:tc>
                <w:tcPr>
                  <w:tcW w:w="1373" w:type="dxa"/>
                  <w:tcBorders>
                    <w:top w:val="single" w:sz="4" w:space="0" w:color="auto"/>
                    <w:left w:val="nil"/>
                    <w:bottom w:val="single" w:sz="4" w:space="0" w:color="auto"/>
                    <w:right w:val="single" w:sz="4" w:space="0" w:color="auto"/>
                  </w:tcBorders>
                </w:tcPr>
                <w:p w14:paraId="4A821AFF"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C5282FF" w14:textId="77777777" w:rsidR="00377B53" w:rsidRPr="005D78BD" w:rsidRDefault="00377B53" w:rsidP="00377B53">
                  <w:pPr>
                    <w:spacing w:line="276" w:lineRule="auto"/>
                    <w:jc w:val="center"/>
                    <w:rPr>
                      <w:rFonts w:cs="Arial"/>
                    </w:rPr>
                  </w:pPr>
                  <w:r w:rsidRPr="005D78BD">
                    <w:rPr>
                      <w:rFonts w:cs="Arial"/>
                    </w:rPr>
                    <w:t>12</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04787317" w14:textId="61669DAA"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1BE3F5FA" w14:textId="4D195F37" w:rsidR="00377B53" w:rsidRPr="005D78BD" w:rsidRDefault="00377B53" w:rsidP="00377B53">
                  <w:pPr>
                    <w:spacing w:line="276" w:lineRule="auto"/>
                    <w:jc w:val="right"/>
                    <w:rPr>
                      <w:rFonts w:cs="Arial"/>
                    </w:rPr>
                  </w:pPr>
                </w:p>
              </w:tc>
            </w:tr>
            <w:tr w:rsidR="00377B53" w:rsidRPr="005D78BD" w14:paraId="4D495EE7"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B1C37C5" w14:textId="77777777" w:rsidR="00377B53" w:rsidRPr="005D78BD" w:rsidRDefault="00377B53" w:rsidP="00377B53">
                  <w:pPr>
                    <w:spacing w:line="276" w:lineRule="auto"/>
                    <w:rPr>
                      <w:rFonts w:cs="Arial"/>
                    </w:rPr>
                  </w:pPr>
                  <w:r w:rsidRPr="005D78BD">
                    <w:rPr>
                      <w:rFonts w:cs="Arial"/>
                    </w:rPr>
                    <w:t>OPCE zpracování zátěžových stavů průměrné velikosti</w:t>
                  </w:r>
                </w:p>
              </w:tc>
              <w:tc>
                <w:tcPr>
                  <w:tcW w:w="1373" w:type="dxa"/>
                  <w:tcBorders>
                    <w:top w:val="single" w:sz="4" w:space="0" w:color="auto"/>
                    <w:left w:val="nil"/>
                    <w:bottom w:val="single" w:sz="4" w:space="0" w:color="auto"/>
                    <w:right w:val="single" w:sz="4" w:space="0" w:color="auto"/>
                  </w:tcBorders>
                </w:tcPr>
                <w:p w14:paraId="34947C80"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3F78FEC3" w14:textId="77777777" w:rsidR="00377B53" w:rsidRPr="005D78BD" w:rsidRDefault="00377B53" w:rsidP="00377B53">
                  <w:pPr>
                    <w:spacing w:line="276" w:lineRule="auto"/>
                    <w:jc w:val="center"/>
                    <w:rPr>
                      <w:rFonts w:cs="Arial"/>
                    </w:rPr>
                  </w:pPr>
                  <w:r w:rsidRPr="005D78BD">
                    <w:rPr>
                      <w:rFonts w:cs="Arial"/>
                    </w:rPr>
                    <w:t>3</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1FD24487" w14:textId="0AD2DD9B"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609B9FAB" w14:textId="38BB770C" w:rsidR="00377B53" w:rsidRPr="005D78BD" w:rsidRDefault="00377B53" w:rsidP="00377B53">
                  <w:pPr>
                    <w:spacing w:line="276" w:lineRule="auto"/>
                    <w:jc w:val="right"/>
                    <w:rPr>
                      <w:rFonts w:cs="Arial"/>
                    </w:rPr>
                  </w:pPr>
                </w:p>
              </w:tc>
            </w:tr>
            <w:tr w:rsidR="00377B53" w:rsidRPr="005D78BD" w14:paraId="3C7A5A89" w14:textId="77777777" w:rsidTr="00377B53">
              <w:trPr>
                <w:trHeight w:val="66"/>
              </w:trPr>
              <w:tc>
                <w:tcPr>
                  <w:tcW w:w="2957"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2CAA075" w14:textId="77777777" w:rsidR="00377B53" w:rsidRPr="005D78BD" w:rsidRDefault="00377B53" w:rsidP="00377B53">
                  <w:pPr>
                    <w:spacing w:line="276" w:lineRule="auto"/>
                    <w:rPr>
                      <w:rFonts w:cs="Arial"/>
                    </w:rPr>
                  </w:pPr>
                  <w:r w:rsidRPr="005D78BD">
                    <w:rPr>
                      <w:rFonts w:cs="Arial"/>
                    </w:rPr>
                    <w:t>OPCE kapacitní posouzení křižovatkových uzlů</w:t>
                  </w:r>
                </w:p>
              </w:tc>
              <w:tc>
                <w:tcPr>
                  <w:tcW w:w="1373" w:type="dxa"/>
                  <w:tcBorders>
                    <w:top w:val="single" w:sz="4" w:space="0" w:color="auto"/>
                    <w:left w:val="nil"/>
                    <w:bottom w:val="single" w:sz="4" w:space="0" w:color="auto"/>
                    <w:right w:val="single" w:sz="4" w:space="0" w:color="auto"/>
                  </w:tcBorders>
                </w:tcPr>
                <w:p w14:paraId="027A687F" w14:textId="77777777" w:rsidR="00377B53" w:rsidRPr="005D78BD" w:rsidRDefault="00377B53" w:rsidP="00377B53">
                  <w:pPr>
                    <w:spacing w:line="276" w:lineRule="auto"/>
                    <w:jc w:val="center"/>
                    <w:rPr>
                      <w:rFonts w:cs="Arial"/>
                    </w:rPr>
                  </w:pPr>
                  <w:r w:rsidRPr="005D78BD">
                    <w:rPr>
                      <w:rFonts w:cs="Arial"/>
                    </w:rPr>
                    <w:t>ks</w:t>
                  </w:r>
                </w:p>
              </w:tc>
              <w:tc>
                <w:tcPr>
                  <w:tcW w:w="89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D078842" w14:textId="77777777" w:rsidR="00377B53" w:rsidRPr="005D78BD" w:rsidRDefault="00377B53" w:rsidP="00377B53">
                  <w:pPr>
                    <w:spacing w:line="276" w:lineRule="auto"/>
                    <w:jc w:val="center"/>
                    <w:rPr>
                      <w:rFonts w:cs="Arial"/>
                    </w:rPr>
                  </w:pPr>
                  <w:r w:rsidRPr="005D78BD">
                    <w:rPr>
                      <w:rFonts w:cs="Arial"/>
                    </w:rPr>
                    <w:t>9</w:t>
                  </w:r>
                </w:p>
              </w:tc>
              <w:tc>
                <w:tcPr>
                  <w:tcW w:w="1621" w:type="dxa"/>
                  <w:tcBorders>
                    <w:top w:val="nil"/>
                    <w:left w:val="nil"/>
                    <w:bottom w:val="single" w:sz="4" w:space="0" w:color="auto"/>
                    <w:right w:val="single" w:sz="4" w:space="0" w:color="auto"/>
                  </w:tcBorders>
                  <w:noWrap/>
                  <w:tcMar>
                    <w:top w:w="15" w:type="dxa"/>
                    <w:left w:w="15" w:type="dxa"/>
                    <w:bottom w:w="0" w:type="dxa"/>
                    <w:right w:w="15" w:type="dxa"/>
                  </w:tcMar>
                </w:tcPr>
                <w:p w14:paraId="150327B2" w14:textId="5C832A2A" w:rsidR="00377B53" w:rsidRPr="005D78BD" w:rsidRDefault="00377B53" w:rsidP="00377B53">
                  <w:pPr>
                    <w:spacing w:line="276" w:lineRule="auto"/>
                    <w:jc w:val="right"/>
                    <w:rPr>
                      <w:rFonts w:cs="Arial"/>
                    </w:rPr>
                  </w:pPr>
                </w:p>
              </w:tc>
              <w:tc>
                <w:tcPr>
                  <w:tcW w:w="1639" w:type="dxa"/>
                  <w:tcBorders>
                    <w:top w:val="nil"/>
                    <w:left w:val="nil"/>
                    <w:bottom w:val="single" w:sz="4" w:space="0" w:color="auto"/>
                    <w:right w:val="single" w:sz="4" w:space="0" w:color="auto"/>
                  </w:tcBorders>
                  <w:noWrap/>
                  <w:tcMar>
                    <w:top w:w="15" w:type="dxa"/>
                    <w:left w:w="15" w:type="dxa"/>
                    <w:bottom w:w="0" w:type="dxa"/>
                    <w:right w:w="15" w:type="dxa"/>
                  </w:tcMar>
                </w:tcPr>
                <w:p w14:paraId="3516885E" w14:textId="568C3968" w:rsidR="00377B53" w:rsidRPr="005D78BD" w:rsidRDefault="00377B53" w:rsidP="00377B53">
                  <w:pPr>
                    <w:spacing w:line="276" w:lineRule="auto"/>
                    <w:jc w:val="right"/>
                    <w:rPr>
                      <w:rFonts w:cs="Arial"/>
                    </w:rPr>
                  </w:pPr>
                </w:p>
              </w:tc>
            </w:tr>
            <w:bookmarkEnd w:id="0"/>
            <w:tr w:rsidR="00377B53" w:rsidRPr="005D78BD" w14:paraId="26789514" w14:textId="77777777" w:rsidTr="00377B53">
              <w:trPr>
                <w:trHeight w:val="300"/>
              </w:trPr>
              <w:tc>
                <w:tcPr>
                  <w:tcW w:w="2957" w:type="dxa"/>
                  <w:noWrap/>
                  <w:tcMar>
                    <w:top w:w="15" w:type="dxa"/>
                    <w:left w:w="15" w:type="dxa"/>
                    <w:bottom w:w="0" w:type="dxa"/>
                    <w:right w:w="15" w:type="dxa"/>
                  </w:tcMar>
                </w:tcPr>
                <w:p w14:paraId="3CF0122F" w14:textId="77777777" w:rsidR="00377B53" w:rsidRPr="005D78BD" w:rsidRDefault="00377B53" w:rsidP="00377B53">
                  <w:pPr>
                    <w:spacing w:line="276" w:lineRule="auto"/>
                    <w:jc w:val="both"/>
                    <w:rPr>
                      <w:rFonts w:cs="Arial"/>
                      <w:b/>
                      <w:bCs/>
                    </w:rPr>
                  </w:pPr>
                </w:p>
              </w:tc>
              <w:tc>
                <w:tcPr>
                  <w:tcW w:w="1373" w:type="dxa"/>
                </w:tcPr>
                <w:p w14:paraId="60F67BCD" w14:textId="77777777" w:rsidR="00377B53" w:rsidRPr="005D78BD" w:rsidRDefault="00377B53" w:rsidP="00377B53">
                  <w:pPr>
                    <w:spacing w:line="276" w:lineRule="auto"/>
                    <w:jc w:val="right"/>
                    <w:rPr>
                      <w:rFonts w:cs="Arial"/>
                      <w:b/>
                      <w:bCs/>
                    </w:rPr>
                  </w:pPr>
                </w:p>
              </w:tc>
              <w:tc>
                <w:tcPr>
                  <w:tcW w:w="895" w:type="dxa"/>
                  <w:noWrap/>
                  <w:tcMar>
                    <w:top w:w="15" w:type="dxa"/>
                    <w:left w:w="15" w:type="dxa"/>
                    <w:bottom w:w="0" w:type="dxa"/>
                    <w:right w:w="15" w:type="dxa"/>
                  </w:tcMar>
                </w:tcPr>
                <w:p w14:paraId="6AF8426F" w14:textId="77777777" w:rsidR="00377B53" w:rsidRPr="005D78BD" w:rsidRDefault="00377B53" w:rsidP="00377B53">
                  <w:pPr>
                    <w:spacing w:line="276" w:lineRule="auto"/>
                    <w:jc w:val="right"/>
                    <w:rPr>
                      <w:rFonts w:cs="Arial"/>
                      <w:b/>
                      <w:bCs/>
                    </w:rPr>
                  </w:pPr>
                </w:p>
              </w:tc>
              <w:tc>
                <w:tcPr>
                  <w:tcW w:w="1621" w:type="dxa"/>
                  <w:noWrap/>
                  <w:tcMar>
                    <w:top w:w="15" w:type="dxa"/>
                    <w:left w:w="15" w:type="dxa"/>
                    <w:bottom w:w="0" w:type="dxa"/>
                    <w:right w:w="15" w:type="dxa"/>
                  </w:tcMar>
                </w:tcPr>
                <w:p w14:paraId="511989CB" w14:textId="77777777" w:rsidR="00377B53" w:rsidRPr="005D78BD" w:rsidRDefault="00377B53" w:rsidP="00377B53">
                  <w:pPr>
                    <w:spacing w:line="276" w:lineRule="auto"/>
                    <w:jc w:val="right"/>
                    <w:rPr>
                      <w:rFonts w:cs="Arial"/>
                      <w:b/>
                      <w:bCs/>
                    </w:rPr>
                  </w:pPr>
                </w:p>
              </w:tc>
              <w:tc>
                <w:tcPr>
                  <w:tcW w:w="1639" w:type="dxa"/>
                  <w:noWrap/>
                  <w:tcMar>
                    <w:top w:w="15" w:type="dxa"/>
                    <w:left w:w="15" w:type="dxa"/>
                    <w:bottom w:w="0" w:type="dxa"/>
                    <w:right w:w="15" w:type="dxa"/>
                  </w:tcMar>
                </w:tcPr>
                <w:p w14:paraId="5BC8191F" w14:textId="33AC5424" w:rsidR="00377B53" w:rsidRPr="005D78BD" w:rsidRDefault="00377B53" w:rsidP="00377B53">
                  <w:pPr>
                    <w:spacing w:line="276" w:lineRule="auto"/>
                    <w:jc w:val="right"/>
                    <w:rPr>
                      <w:rFonts w:cs="Arial"/>
                      <w:b/>
                      <w:bCs/>
                    </w:rPr>
                  </w:pPr>
                  <w:r w:rsidRPr="005D78BD">
                    <w:rPr>
                      <w:rFonts w:cs="Arial"/>
                      <w:b/>
                      <w:bCs/>
                    </w:rPr>
                    <w:t>č</w:t>
                  </w:r>
                </w:p>
              </w:tc>
            </w:tr>
          </w:tbl>
          <w:p w14:paraId="0471DE5D" w14:textId="65956CA5" w:rsidR="00EF78DF" w:rsidRPr="00377B53" w:rsidRDefault="00EF78DF" w:rsidP="00377B53">
            <w:pPr>
              <w:pStyle w:val="Nadpisbezsl1-2"/>
            </w:pPr>
          </w:p>
        </w:tc>
      </w:tr>
    </w:tbl>
    <w:p w14:paraId="71E2D1B0" w14:textId="77777777" w:rsidR="00236DCC" w:rsidRDefault="00236DCC" w:rsidP="00236DCC">
      <w:pPr>
        <w:pStyle w:val="Textbezodsazen"/>
      </w:pPr>
    </w:p>
    <w:p w14:paraId="788AD1C7" w14:textId="77777777" w:rsidR="00236DCC" w:rsidRDefault="00236DCC" w:rsidP="00236DCC">
      <w:pPr>
        <w:pStyle w:val="Textbezodsazen"/>
      </w:pPr>
    </w:p>
    <w:p w14:paraId="1AF37AFF" w14:textId="77777777" w:rsidR="00EF78DF" w:rsidRDefault="00EF78DF"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43B9C796" w14:textId="77777777" w:rsidR="00B72613" w:rsidRDefault="00B72613" w:rsidP="00B72613">
      <w:pPr>
        <w:pStyle w:val="Textbezodsazen"/>
      </w:pPr>
    </w:p>
    <w:p w14:paraId="30364DDD" w14:textId="77777777" w:rsidR="00377B53" w:rsidRPr="002B71E0" w:rsidRDefault="00377B53" w:rsidP="00377B53">
      <w:pPr>
        <w:spacing w:after="0" w:line="240" w:lineRule="auto"/>
        <w:ind w:left="426"/>
        <w:rPr>
          <w:rFonts w:eastAsia="Times New Roman" w:cs="Times New Roman"/>
          <w:color w:val="000000" w:themeColor="text1"/>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B71E0">
        <w:rPr>
          <w:rFonts w:eastAsia="Times New Roman" w:cs="Times New Roman"/>
          <w:color w:val="000000" w:themeColor="text1"/>
          <w:lang w:eastAsia="cs-CZ"/>
        </w:rPr>
        <w:t>dnem nabytí účinnosti smlouvy.</w:t>
      </w:r>
    </w:p>
    <w:p w14:paraId="2E55D51A" w14:textId="77777777" w:rsidR="00377B53" w:rsidRPr="00F01FED" w:rsidRDefault="00377B53" w:rsidP="00377B53">
      <w:pPr>
        <w:spacing w:after="0" w:line="240" w:lineRule="auto"/>
        <w:ind w:left="426"/>
        <w:rPr>
          <w:rFonts w:eastAsia="Times New Roman" w:cs="Times New Roman"/>
          <w:b/>
          <w:lang w:eastAsia="cs-CZ"/>
        </w:rPr>
      </w:pPr>
    </w:p>
    <w:p w14:paraId="2DDD1AAB" w14:textId="77777777" w:rsidR="00377B53" w:rsidRPr="00F01FED" w:rsidRDefault="00377B53" w:rsidP="00377B53">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654CBE5" w14:textId="77777777" w:rsidR="00377B53" w:rsidRPr="00F01FED" w:rsidRDefault="00377B53" w:rsidP="00377B53">
      <w:pPr>
        <w:spacing w:after="0" w:line="240" w:lineRule="auto"/>
        <w:ind w:left="426"/>
        <w:rPr>
          <w:rFonts w:eastAsia="Times New Roman" w:cs="Times New Roman"/>
          <w:b/>
          <w:lang w:eastAsia="cs-CZ"/>
        </w:rPr>
      </w:pPr>
    </w:p>
    <w:p w14:paraId="4E1EC564" w14:textId="25D7D55E" w:rsidR="00377B53" w:rsidRDefault="00377B53" w:rsidP="00377B53">
      <w:pPr>
        <w:pStyle w:val="Odstavecseseznamem"/>
        <w:numPr>
          <w:ilvl w:val="0"/>
          <w:numId w:val="45"/>
        </w:numPr>
        <w:spacing w:after="0" w:line="240" w:lineRule="auto"/>
        <w:rPr>
          <w:rFonts w:eastAsia="Times New Roman" w:cs="Arial"/>
          <w:lang w:eastAsia="cs-CZ"/>
        </w:rPr>
      </w:pPr>
      <w:r>
        <w:rPr>
          <w:rFonts w:eastAsia="Times New Roman" w:cs="Arial"/>
          <w:b/>
          <w:lang w:eastAsia="cs-CZ"/>
        </w:rPr>
        <w:t xml:space="preserve">Dílčí plnění </w:t>
      </w:r>
      <w:r w:rsidRPr="00B503A0">
        <w:rPr>
          <w:rFonts w:eastAsia="Times New Roman" w:cs="Arial"/>
          <w:b/>
          <w:lang w:eastAsia="cs-CZ"/>
        </w:rPr>
        <w:t xml:space="preserve">do </w:t>
      </w:r>
      <w:r>
        <w:rPr>
          <w:rFonts w:eastAsia="Times New Roman" w:cs="Arial"/>
          <w:b/>
          <w:lang w:eastAsia="cs-CZ"/>
        </w:rPr>
        <w:t>4</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D45DDB">
        <w:rPr>
          <w:rFonts w:eastAsia="Times New Roman" w:cs="Arial"/>
          <w:lang w:eastAsia="cs-CZ"/>
        </w:rPr>
        <w:t xml:space="preserve">činností </w:t>
      </w:r>
      <w:r>
        <w:rPr>
          <w:rFonts w:eastAsia="Times New Roman" w:cs="Arial"/>
          <w:lang w:eastAsia="cs-CZ"/>
        </w:rPr>
        <w:t>1,</w:t>
      </w:r>
      <w:r w:rsidR="00D45DDB">
        <w:rPr>
          <w:rFonts w:eastAsia="Times New Roman" w:cs="Arial"/>
          <w:lang w:eastAsia="cs-CZ"/>
        </w:rPr>
        <w:t xml:space="preserve"> </w:t>
      </w:r>
      <w:r>
        <w:rPr>
          <w:rFonts w:eastAsia="Times New Roman" w:cs="Arial"/>
          <w:lang w:eastAsia="cs-CZ"/>
        </w:rPr>
        <w:t>2,</w:t>
      </w:r>
      <w:r w:rsidR="00D45DDB">
        <w:rPr>
          <w:rFonts w:eastAsia="Times New Roman" w:cs="Arial"/>
          <w:lang w:eastAsia="cs-CZ"/>
        </w:rPr>
        <w:t xml:space="preserve"> </w:t>
      </w:r>
      <w:r>
        <w:rPr>
          <w:rFonts w:eastAsia="Times New Roman" w:cs="Arial"/>
          <w:lang w:eastAsia="cs-CZ"/>
        </w:rPr>
        <w:t>3</w:t>
      </w:r>
      <w:r w:rsidR="00D45DDB">
        <w:rPr>
          <w:rFonts w:eastAsia="Times New Roman" w:cs="Arial"/>
          <w:lang w:eastAsia="cs-CZ"/>
        </w:rPr>
        <w:t xml:space="preserve"> uvedených v příloze č. 4 této Smlouvy</w:t>
      </w:r>
    </w:p>
    <w:p w14:paraId="0D8765D2" w14:textId="615C4F44" w:rsidR="00377B53" w:rsidRDefault="00377B53" w:rsidP="00377B53">
      <w:pPr>
        <w:pStyle w:val="Odstavecseseznamem"/>
        <w:numPr>
          <w:ilvl w:val="0"/>
          <w:numId w:val="45"/>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7</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D45DDB">
        <w:rPr>
          <w:rFonts w:eastAsia="Times New Roman" w:cs="Arial"/>
          <w:lang w:eastAsia="cs-CZ"/>
        </w:rPr>
        <w:t xml:space="preserve">činnosti </w:t>
      </w:r>
      <w:r>
        <w:rPr>
          <w:rFonts w:eastAsia="Times New Roman" w:cs="Arial"/>
          <w:lang w:eastAsia="cs-CZ"/>
        </w:rPr>
        <w:t>4</w:t>
      </w:r>
      <w:r w:rsidR="00D45DDB">
        <w:rPr>
          <w:rFonts w:eastAsia="Times New Roman" w:cs="Arial"/>
          <w:lang w:eastAsia="cs-CZ"/>
        </w:rPr>
        <w:t>, uvedené v příloze č. 4 této Smlouvy</w:t>
      </w:r>
    </w:p>
    <w:p w14:paraId="1E59F0A0" w14:textId="44CDA3C4" w:rsidR="00377B53" w:rsidRDefault="00377B53" w:rsidP="00377B53">
      <w:pPr>
        <w:pStyle w:val="Odstavecseseznamem"/>
        <w:numPr>
          <w:ilvl w:val="0"/>
          <w:numId w:val="45"/>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9</w:t>
      </w:r>
      <w:r w:rsidRPr="00B503A0">
        <w:rPr>
          <w:rFonts w:eastAsia="Times New Roman" w:cs="Arial"/>
          <w:b/>
          <w:lang w:eastAsia="cs-CZ"/>
        </w:rPr>
        <w:t xml:space="preserve"> měsíců</w:t>
      </w:r>
      <w:r w:rsidRPr="00B503A0">
        <w:rPr>
          <w:rFonts w:eastAsia="Times New Roman" w:cs="Arial"/>
          <w:lang w:eastAsia="cs-CZ"/>
        </w:rPr>
        <w:t xml:space="preserve"> ode dne </w:t>
      </w:r>
      <w:r>
        <w:rPr>
          <w:rFonts w:eastAsia="Times New Roman" w:cs="Arial"/>
          <w:lang w:eastAsia="cs-CZ"/>
        </w:rPr>
        <w:t xml:space="preserve">nabytí účinnosti smlouvy – plnění + fakturace </w:t>
      </w:r>
      <w:r w:rsidR="00D45DDB">
        <w:rPr>
          <w:rFonts w:eastAsia="Times New Roman" w:cs="Arial"/>
          <w:lang w:eastAsia="cs-CZ"/>
        </w:rPr>
        <w:t xml:space="preserve">činností </w:t>
      </w:r>
      <w:r>
        <w:rPr>
          <w:rFonts w:eastAsia="Times New Roman" w:cs="Arial"/>
          <w:lang w:eastAsia="cs-CZ"/>
        </w:rPr>
        <w:t>5.1</w:t>
      </w:r>
      <w:r w:rsidR="00D45DDB">
        <w:rPr>
          <w:rFonts w:eastAsia="Times New Roman" w:cs="Arial"/>
          <w:lang w:eastAsia="cs-CZ"/>
        </w:rPr>
        <w:t xml:space="preserve"> a</w:t>
      </w:r>
      <w:r>
        <w:rPr>
          <w:rFonts w:eastAsia="Times New Roman" w:cs="Arial"/>
          <w:lang w:eastAsia="cs-CZ"/>
        </w:rPr>
        <w:t xml:space="preserve"> 5.2</w:t>
      </w:r>
      <w:r w:rsidR="00D45DDB">
        <w:rPr>
          <w:rFonts w:eastAsia="Times New Roman" w:cs="Arial"/>
          <w:lang w:eastAsia="cs-CZ"/>
        </w:rPr>
        <w:t xml:space="preserve"> uvedených v příloze č. 4 této Smlouvy</w:t>
      </w:r>
    </w:p>
    <w:p w14:paraId="7B70DA9A" w14:textId="69BC5C2D" w:rsidR="00377B53" w:rsidRDefault="00377B53" w:rsidP="00377B53">
      <w:pPr>
        <w:pStyle w:val="Odstavecseseznamem"/>
        <w:numPr>
          <w:ilvl w:val="0"/>
          <w:numId w:val="45"/>
        </w:numPr>
        <w:spacing w:after="0" w:line="240" w:lineRule="auto"/>
        <w:rPr>
          <w:rFonts w:eastAsia="Times New Roman" w:cs="Arial"/>
          <w:lang w:eastAsia="cs-CZ"/>
        </w:rPr>
      </w:pPr>
      <w:r>
        <w:rPr>
          <w:rFonts w:eastAsia="Times New Roman" w:cs="Arial"/>
          <w:b/>
          <w:lang w:eastAsia="cs-CZ"/>
        </w:rPr>
        <w:t>Dílčí plnění</w:t>
      </w:r>
      <w:r w:rsidRPr="00B503A0">
        <w:rPr>
          <w:rFonts w:eastAsia="Times New Roman" w:cs="Arial"/>
          <w:b/>
          <w:lang w:eastAsia="cs-CZ"/>
        </w:rPr>
        <w:t xml:space="preserve"> do </w:t>
      </w:r>
      <w:r>
        <w:rPr>
          <w:rFonts w:eastAsia="Times New Roman" w:cs="Arial"/>
          <w:b/>
          <w:lang w:eastAsia="cs-CZ"/>
        </w:rPr>
        <w:t>3</w:t>
      </w:r>
      <w:r w:rsidRPr="00B503A0">
        <w:rPr>
          <w:rFonts w:eastAsia="Times New Roman" w:cs="Arial"/>
          <w:b/>
          <w:lang w:eastAsia="cs-CZ"/>
        </w:rPr>
        <w:t xml:space="preserve"> měsíců</w:t>
      </w:r>
      <w:r w:rsidRPr="00B503A0">
        <w:rPr>
          <w:rFonts w:eastAsia="Times New Roman" w:cs="Arial"/>
          <w:lang w:eastAsia="cs-CZ"/>
        </w:rPr>
        <w:t xml:space="preserve"> od</w:t>
      </w:r>
      <w:r>
        <w:rPr>
          <w:rFonts w:eastAsia="Times New Roman" w:cs="Arial"/>
          <w:lang w:eastAsia="cs-CZ"/>
        </w:rPr>
        <w:t xml:space="preserve"> pokynu objednatele – plnění + fakturace </w:t>
      </w:r>
      <w:r w:rsidR="00D45DDB">
        <w:rPr>
          <w:rFonts w:eastAsia="Times New Roman" w:cs="Arial"/>
          <w:lang w:eastAsia="cs-CZ"/>
        </w:rPr>
        <w:t xml:space="preserve">činnosti </w:t>
      </w:r>
      <w:r>
        <w:rPr>
          <w:rFonts w:eastAsia="Times New Roman" w:cs="Arial"/>
          <w:lang w:eastAsia="cs-CZ"/>
        </w:rPr>
        <w:t>OPCE zpracování zátěžových stavů</w:t>
      </w:r>
      <w:r w:rsidR="00D45DDB">
        <w:rPr>
          <w:rFonts w:eastAsia="Times New Roman" w:cs="Arial"/>
          <w:lang w:eastAsia="cs-CZ"/>
        </w:rPr>
        <w:t>, uvedené v příloze č. 4 této Smlouvy</w:t>
      </w:r>
    </w:p>
    <w:p w14:paraId="337F33CB" w14:textId="542ABA72" w:rsidR="00377B53" w:rsidRPr="002B71E0" w:rsidRDefault="00377B53" w:rsidP="00377B53">
      <w:pPr>
        <w:pStyle w:val="Odstavecseseznamem"/>
        <w:numPr>
          <w:ilvl w:val="0"/>
          <w:numId w:val="45"/>
        </w:numPr>
        <w:spacing w:after="0" w:line="240" w:lineRule="auto"/>
        <w:rPr>
          <w:rFonts w:eastAsia="Times New Roman" w:cs="Times New Roman"/>
          <w:b/>
          <w:lang w:eastAsia="cs-CZ"/>
        </w:rPr>
      </w:pPr>
      <w:r w:rsidRPr="002B71E0">
        <w:rPr>
          <w:rFonts w:eastAsia="Times New Roman" w:cs="Arial"/>
          <w:b/>
          <w:lang w:eastAsia="cs-CZ"/>
        </w:rPr>
        <w:t>Dílčí plnění do 4 měsíců</w:t>
      </w:r>
      <w:r w:rsidRPr="002B71E0">
        <w:rPr>
          <w:rFonts w:eastAsia="Times New Roman" w:cs="Arial"/>
          <w:lang w:eastAsia="cs-CZ"/>
        </w:rPr>
        <w:t xml:space="preserve"> od pokynu objednatele – plnění + fakturace </w:t>
      </w:r>
      <w:r w:rsidR="00D45DDB">
        <w:rPr>
          <w:rFonts w:eastAsia="Times New Roman" w:cs="Arial"/>
          <w:lang w:eastAsia="cs-CZ"/>
        </w:rPr>
        <w:t xml:space="preserve">činnosti </w:t>
      </w:r>
      <w:r w:rsidRPr="002B71E0">
        <w:rPr>
          <w:rFonts w:eastAsia="Times New Roman" w:cs="Arial"/>
          <w:lang w:eastAsia="cs-CZ"/>
        </w:rPr>
        <w:t>OPCE kapacitní posouzení</w:t>
      </w:r>
      <w:r w:rsidR="00D45DDB">
        <w:rPr>
          <w:rFonts w:eastAsia="Times New Roman" w:cs="Arial"/>
          <w:lang w:eastAsia="cs-CZ"/>
        </w:rPr>
        <w:t>, uvedené v příloze č. 4 této Smlouvy.</w:t>
      </w:r>
    </w:p>
    <w:p w14:paraId="5EB9A05E" w14:textId="77777777" w:rsidR="00377B53" w:rsidRDefault="00377B53" w:rsidP="00B72613">
      <w:pPr>
        <w:pStyle w:val="Textbezodsazen"/>
      </w:pPr>
    </w:p>
    <w:p w14:paraId="0354AFE0" w14:textId="3406DCEA" w:rsidR="00B72613" w:rsidRPr="00182833" w:rsidRDefault="00182833" w:rsidP="00B72613">
      <w:pPr>
        <w:pStyle w:val="Nadpisbezsl1-2"/>
        <w:rPr>
          <w:rFonts w:asciiTheme="minorHAnsi" w:eastAsia="Times New Roman" w:hAnsiTheme="minorHAnsi" w:cs="Times New Roman"/>
          <w:b w:val="0"/>
          <w:color w:val="000000" w:themeColor="text1"/>
          <w:sz w:val="18"/>
          <w:szCs w:val="18"/>
          <w:lang w:eastAsia="cs-CZ"/>
        </w:rPr>
        <w:sectPr w:rsidR="00B72613" w:rsidRPr="00182833" w:rsidSect="008714F1">
          <w:headerReference w:type="default" r:id="rId24"/>
          <w:footerReference w:type="default" r:id="rId25"/>
          <w:pgSz w:w="11906" w:h="16838" w:code="9"/>
          <w:pgMar w:top="1049" w:right="1134" w:bottom="1474" w:left="1418" w:header="595" w:footer="624" w:gutter="652"/>
          <w:pgNumType w:start="1"/>
          <w:cols w:space="708"/>
          <w:docGrid w:linePitch="360"/>
        </w:sectPr>
      </w:pPr>
      <w:r w:rsidRPr="00182833">
        <w:rPr>
          <w:rFonts w:asciiTheme="minorHAnsi" w:eastAsia="Times New Roman" w:hAnsiTheme="minorHAnsi" w:cs="Times New Roman"/>
          <w:b w:val="0"/>
          <w:color w:val="000000" w:themeColor="text1"/>
          <w:sz w:val="18"/>
          <w:szCs w:val="18"/>
          <w:lang w:eastAsia="cs-CZ"/>
        </w:rPr>
        <w:t>Cena za dílo v rámci jednotlivých etap bude fakturována za předpokladu odevzdání díla bez vad a nedodělků, k výše uvedeným termínům plnění.</w:t>
      </w: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77B53" w:rsidRPr="00F95FBD" w14:paraId="4772827B" w14:textId="77777777" w:rsidTr="00377B5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377B53" w:rsidRPr="00F95FBD" w:rsidRDefault="00377B53" w:rsidP="00377B53">
            <w:pPr>
              <w:pStyle w:val="Tabulka"/>
              <w:rPr>
                <w:rStyle w:val="Nadpisvtabulce"/>
              </w:rPr>
            </w:pPr>
            <w:r w:rsidRPr="00F95FBD">
              <w:rPr>
                <w:rStyle w:val="Nadpisvtabulce"/>
              </w:rPr>
              <w:t>Jméno a příjmení</w:t>
            </w:r>
          </w:p>
        </w:tc>
        <w:tc>
          <w:tcPr>
            <w:tcW w:w="5812" w:type="dxa"/>
          </w:tcPr>
          <w:p w14:paraId="7E90ACF9" w14:textId="4FB9C66C" w:rsidR="00377B53" w:rsidRPr="004436EE" w:rsidRDefault="00377B53" w:rsidP="00377B5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049C5">
              <w:rPr>
                <w:rFonts w:ascii="Verdana" w:hAnsi="Verdana"/>
                <w:sz w:val="18"/>
                <w:lang w:eastAsia="cs-CZ"/>
              </w:rPr>
              <w:t>Ing. Miroslav Bocák</w:t>
            </w:r>
            <w:r>
              <w:rPr>
                <w:rFonts w:ascii="Verdana" w:hAnsi="Verdana"/>
                <w:sz w:val="18"/>
                <w:lang w:eastAsia="cs-CZ"/>
              </w:rPr>
              <w:t>, ředitel Stavební správy východ</w:t>
            </w:r>
          </w:p>
        </w:tc>
      </w:tr>
      <w:tr w:rsidR="00377B53" w:rsidRPr="00F95FBD" w14:paraId="7E95C1B9" w14:textId="77777777" w:rsidTr="00377B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377B53" w:rsidRPr="00F95FBD" w:rsidRDefault="00377B53" w:rsidP="00377B53">
            <w:pPr>
              <w:pStyle w:val="Tabulka"/>
              <w:rPr>
                <w:sz w:val="18"/>
              </w:rPr>
            </w:pPr>
            <w:r w:rsidRPr="00F95FBD">
              <w:rPr>
                <w:sz w:val="18"/>
              </w:rPr>
              <w:t>Adresa</w:t>
            </w:r>
          </w:p>
        </w:tc>
        <w:tc>
          <w:tcPr>
            <w:tcW w:w="5812" w:type="dxa"/>
          </w:tcPr>
          <w:p w14:paraId="774D7C39" w14:textId="24FDFF9E" w:rsidR="00377B53" w:rsidRPr="004436EE" w:rsidRDefault="00377B53" w:rsidP="00377B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9C5">
              <w:rPr>
                <w:rFonts w:ascii="Verdana" w:hAnsi="Verdana"/>
                <w:sz w:val="18"/>
                <w:lang w:eastAsia="cs-CZ"/>
              </w:rPr>
              <w:t>Nerudova 773/1, 779 00 Olomouc</w:t>
            </w:r>
          </w:p>
        </w:tc>
      </w:tr>
      <w:tr w:rsidR="00377B53" w:rsidRPr="00F95FBD" w14:paraId="137C2756" w14:textId="77777777" w:rsidTr="00377B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377B53" w:rsidRPr="00F95FBD" w:rsidRDefault="00377B53" w:rsidP="00377B53">
            <w:pPr>
              <w:pStyle w:val="Tabulka"/>
              <w:rPr>
                <w:sz w:val="18"/>
              </w:rPr>
            </w:pPr>
            <w:r w:rsidRPr="00F95FBD">
              <w:rPr>
                <w:sz w:val="18"/>
              </w:rPr>
              <w:t>E-mail</w:t>
            </w:r>
          </w:p>
        </w:tc>
        <w:tc>
          <w:tcPr>
            <w:tcW w:w="5812" w:type="dxa"/>
          </w:tcPr>
          <w:p w14:paraId="09629480" w14:textId="3F4416D5" w:rsidR="00377B53" w:rsidRPr="004436EE" w:rsidRDefault="00377B53" w:rsidP="00377B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9C5">
              <w:rPr>
                <w:rFonts w:ascii="Verdana" w:hAnsi="Verdana"/>
                <w:sz w:val="18"/>
                <w:lang w:eastAsia="cs-CZ"/>
              </w:rPr>
              <w:t>Bocak@spravazeleznic.cz</w:t>
            </w:r>
          </w:p>
        </w:tc>
      </w:tr>
      <w:tr w:rsidR="00377B53" w:rsidRPr="00F95FBD" w14:paraId="61C74B19" w14:textId="77777777" w:rsidTr="00377B5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377B53" w:rsidRPr="00F95FBD" w:rsidRDefault="00377B53" w:rsidP="00377B53">
            <w:pPr>
              <w:pStyle w:val="Tabulka"/>
              <w:rPr>
                <w:sz w:val="18"/>
              </w:rPr>
            </w:pPr>
            <w:r w:rsidRPr="00F95FBD">
              <w:rPr>
                <w:sz w:val="18"/>
              </w:rPr>
              <w:t>Telefon</w:t>
            </w:r>
          </w:p>
        </w:tc>
        <w:tc>
          <w:tcPr>
            <w:tcW w:w="5812" w:type="dxa"/>
          </w:tcPr>
          <w:p w14:paraId="43BD2F25" w14:textId="322CB954" w:rsidR="00377B53" w:rsidRPr="004436EE" w:rsidRDefault="00377B53" w:rsidP="00377B5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9C5">
              <w:rPr>
                <w:rFonts w:ascii="Verdana" w:hAnsi="Verdana"/>
                <w:sz w:val="18"/>
                <w:lang w:eastAsia="cs-CZ"/>
              </w:rPr>
              <w:t>+420 606 780 184</w:t>
            </w:r>
          </w:p>
        </w:tc>
      </w:tr>
    </w:tbl>
    <w:p w14:paraId="3598E7E2" w14:textId="77777777" w:rsidR="002038D5" w:rsidRDefault="002038D5" w:rsidP="00502690">
      <w:pPr>
        <w:pStyle w:val="Textbezodsazen"/>
      </w:pPr>
    </w:p>
    <w:p w14:paraId="4647A31F" w14:textId="77777777" w:rsidR="005F5C05" w:rsidRPr="00F95FBD" w:rsidRDefault="005F5C05" w:rsidP="005F5C0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F5C05" w:rsidRPr="00F95FBD" w14:paraId="29371E8D" w14:textId="77777777" w:rsidTr="00544B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49AE62" w14:textId="77777777" w:rsidR="005F5C05" w:rsidRPr="00F95FBD" w:rsidRDefault="005F5C05" w:rsidP="00544B7F">
            <w:pPr>
              <w:pStyle w:val="Tabulka"/>
              <w:rPr>
                <w:rStyle w:val="Nadpisvtabulce"/>
                <w:b w:val="0"/>
              </w:rPr>
            </w:pPr>
            <w:r w:rsidRPr="00F95FBD">
              <w:rPr>
                <w:rStyle w:val="Nadpisvtabulce"/>
                <w:b w:val="0"/>
              </w:rPr>
              <w:t>Jméno a příjmení</w:t>
            </w:r>
          </w:p>
        </w:tc>
        <w:tc>
          <w:tcPr>
            <w:tcW w:w="5812" w:type="dxa"/>
          </w:tcPr>
          <w:p w14:paraId="36B3C270" w14:textId="77777777" w:rsidR="005F5C05" w:rsidRPr="00EC707C" w:rsidRDefault="005F5C05" w:rsidP="00544B7F">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3049C5">
              <w:rPr>
                <w:sz w:val="18"/>
              </w:rPr>
              <w:t>Mgr. Michal Maier</w:t>
            </w:r>
            <w:r>
              <w:rPr>
                <w:sz w:val="18"/>
              </w:rPr>
              <w:t>, právník Stavební správy východ</w:t>
            </w:r>
          </w:p>
        </w:tc>
      </w:tr>
      <w:tr w:rsidR="005F5C05" w:rsidRPr="00F95FBD" w14:paraId="62DBB7B6"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429BD539" w14:textId="77777777" w:rsidR="005F5C05" w:rsidRPr="00F95FBD" w:rsidRDefault="005F5C05" w:rsidP="00544B7F">
            <w:pPr>
              <w:pStyle w:val="Tabulka"/>
              <w:rPr>
                <w:sz w:val="18"/>
              </w:rPr>
            </w:pPr>
            <w:r w:rsidRPr="00F95FBD">
              <w:rPr>
                <w:sz w:val="18"/>
              </w:rPr>
              <w:t>Adresa</w:t>
            </w:r>
          </w:p>
        </w:tc>
        <w:tc>
          <w:tcPr>
            <w:tcW w:w="5812" w:type="dxa"/>
          </w:tcPr>
          <w:p w14:paraId="6F4FC8EA" w14:textId="77777777" w:rsidR="005F5C05" w:rsidRPr="00EC707C"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Nerudova 773/1, 779 00 Olomouc</w:t>
            </w:r>
          </w:p>
        </w:tc>
      </w:tr>
      <w:tr w:rsidR="005F5C05" w:rsidRPr="00F95FBD" w14:paraId="48FC2F7D"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2223A0F4" w14:textId="77777777" w:rsidR="005F5C05" w:rsidRPr="00F95FBD" w:rsidRDefault="005F5C05" w:rsidP="00544B7F">
            <w:pPr>
              <w:pStyle w:val="Tabulka"/>
              <w:rPr>
                <w:sz w:val="18"/>
              </w:rPr>
            </w:pPr>
            <w:r w:rsidRPr="00F95FBD">
              <w:rPr>
                <w:sz w:val="18"/>
              </w:rPr>
              <w:t>E-mail</w:t>
            </w:r>
          </w:p>
        </w:tc>
        <w:tc>
          <w:tcPr>
            <w:tcW w:w="5812" w:type="dxa"/>
          </w:tcPr>
          <w:p w14:paraId="4BE27054" w14:textId="77777777" w:rsidR="005F5C05" w:rsidRPr="00EC707C"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MaierM@spravazeleznic.cz</w:t>
            </w:r>
          </w:p>
        </w:tc>
      </w:tr>
      <w:tr w:rsidR="005F5C05" w:rsidRPr="00F95FBD" w14:paraId="45993E56"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0DB6BA9C" w14:textId="77777777" w:rsidR="005F5C05" w:rsidRPr="00F95FBD" w:rsidRDefault="005F5C05" w:rsidP="00544B7F">
            <w:pPr>
              <w:pStyle w:val="Tabulka"/>
              <w:rPr>
                <w:sz w:val="18"/>
              </w:rPr>
            </w:pPr>
            <w:r w:rsidRPr="00F95FBD">
              <w:rPr>
                <w:sz w:val="18"/>
              </w:rPr>
              <w:t>Telefon</w:t>
            </w:r>
          </w:p>
        </w:tc>
        <w:tc>
          <w:tcPr>
            <w:tcW w:w="5812" w:type="dxa"/>
          </w:tcPr>
          <w:p w14:paraId="3621B13D" w14:textId="77777777" w:rsidR="005F5C05" w:rsidRPr="00EC707C"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3049C5">
              <w:rPr>
                <w:sz w:val="18"/>
              </w:rPr>
              <w:t>+420 724 932 278</w:t>
            </w:r>
          </w:p>
        </w:tc>
      </w:tr>
    </w:tbl>
    <w:p w14:paraId="0FA43696" w14:textId="77777777" w:rsidR="00377B53" w:rsidRDefault="00377B53"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5F5C05" w:rsidRPr="00F95FBD" w14:paraId="784FBBF6" w14:textId="77777777" w:rsidTr="005F5C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5F5C05" w:rsidRPr="00F95FBD" w:rsidRDefault="005F5C05" w:rsidP="005F5C05">
            <w:pPr>
              <w:pStyle w:val="Tabulka"/>
              <w:rPr>
                <w:rStyle w:val="Nadpisvtabulce"/>
                <w:b w:val="0"/>
              </w:rPr>
            </w:pPr>
            <w:r w:rsidRPr="00F95FBD">
              <w:rPr>
                <w:rStyle w:val="Nadpisvtabulce"/>
                <w:b w:val="0"/>
              </w:rPr>
              <w:t>Jméno a příjmení</w:t>
            </w:r>
          </w:p>
        </w:tc>
        <w:tc>
          <w:tcPr>
            <w:tcW w:w="5812" w:type="dxa"/>
          </w:tcPr>
          <w:p w14:paraId="2A1E7721" w14:textId="7AD939A7" w:rsidR="005F5C05" w:rsidRPr="00EC707C" w:rsidRDefault="005F5C05" w:rsidP="005F5C0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049C5">
              <w:rPr>
                <w:sz w:val="18"/>
              </w:rPr>
              <w:t>Ing. Martin Hryzbil</w:t>
            </w:r>
          </w:p>
        </w:tc>
      </w:tr>
      <w:tr w:rsidR="005F5C05" w:rsidRPr="00F95FBD" w14:paraId="20297842" w14:textId="77777777" w:rsidTr="005F5C05">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5F5C05" w:rsidRPr="00F95FBD" w:rsidRDefault="005F5C05" w:rsidP="005F5C05">
            <w:pPr>
              <w:pStyle w:val="Tabulka"/>
              <w:rPr>
                <w:sz w:val="18"/>
              </w:rPr>
            </w:pPr>
            <w:r w:rsidRPr="00F95FBD">
              <w:rPr>
                <w:sz w:val="18"/>
              </w:rPr>
              <w:t>Adresa</w:t>
            </w:r>
          </w:p>
        </w:tc>
        <w:tc>
          <w:tcPr>
            <w:tcW w:w="5812" w:type="dxa"/>
          </w:tcPr>
          <w:p w14:paraId="69E58EB7" w14:textId="7A85ACF5" w:rsidR="005F5C05" w:rsidRPr="00EC707C" w:rsidRDefault="005F5C05" w:rsidP="005F5C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9C5">
              <w:rPr>
                <w:sz w:val="18"/>
              </w:rPr>
              <w:t>Nerudova 773/1, 779 00 Olomouc</w:t>
            </w:r>
          </w:p>
        </w:tc>
      </w:tr>
      <w:tr w:rsidR="005F5C05" w:rsidRPr="00F95FBD" w14:paraId="79C2C44F" w14:textId="77777777" w:rsidTr="005F5C05">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5F5C05" w:rsidRPr="00F95FBD" w:rsidRDefault="005F5C05" w:rsidP="005F5C05">
            <w:pPr>
              <w:pStyle w:val="Tabulka"/>
              <w:rPr>
                <w:sz w:val="18"/>
              </w:rPr>
            </w:pPr>
            <w:r w:rsidRPr="00F95FBD">
              <w:rPr>
                <w:sz w:val="18"/>
              </w:rPr>
              <w:t>E-mail</w:t>
            </w:r>
          </w:p>
        </w:tc>
        <w:tc>
          <w:tcPr>
            <w:tcW w:w="5812" w:type="dxa"/>
          </w:tcPr>
          <w:p w14:paraId="09610BB7" w14:textId="184CFF2E" w:rsidR="005F5C05" w:rsidRPr="00EC707C" w:rsidRDefault="006915F7" w:rsidP="005F5C0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H</w:t>
            </w:r>
            <w:r w:rsidR="005F5C05" w:rsidRPr="003049C5">
              <w:rPr>
                <w:sz w:val="18"/>
              </w:rPr>
              <w:t>ryzbil@spravazeleznic.cz</w:t>
            </w:r>
          </w:p>
        </w:tc>
      </w:tr>
      <w:tr w:rsidR="005F5C05" w:rsidRPr="00F95FBD" w14:paraId="66B3C0A5" w14:textId="77777777" w:rsidTr="005F5C05">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5F5C05" w:rsidRPr="00F95FBD" w:rsidRDefault="005F5C05" w:rsidP="005F5C05">
            <w:pPr>
              <w:pStyle w:val="Tabulka"/>
              <w:rPr>
                <w:sz w:val="18"/>
              </w:rPr>
            </w:pPr>
            <w:r w:rsidRPr="00F95FBD">
              <w:rPr>
                <w:sz w:val="18"/>
              </w:rPr>
              <w:t>Telefon</w:t>
            </w:r>
          </w:p>
        </w:tc>
        <w:tc>
          <w:tcPr>
            <w:tcW w:w="5812" w:type="dxa"/>
          </w:tcPr>
          <w:p w14:paraId="26C056E2" w14:textId="122D61CD" w:rsidR="005F5C05" w:rsidRPr="00EC707C" w:rsidRDefault="005F5C05" w:rsidP="005F5C0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049C5">
              <w:rPr>
                <w:sz w:val="18"/>
              </w:rPr>
              <w:t>+420 724 932 357</w:t>
            </w:r>
          </w:p>
        </w:tc>
      </w:tr>
    </w:tbl>
    <w:p w14:paraId="18F27A99" w14:textId="77777777" w:rsidR="002038D5" w:rsidRPr="00F95FBD" w:rsidRDefault="002038D5" w:rsidP="002038D5">
      <w:pPr>
        <w:pStyle w:val="Textbezodsazen"/>
      </w:pPr>
    </w:p>
    <w:p w14:paraId="62BF9F5E" w14:textId="77777777" w:rsidR="002038D5" w:rsidRDefault="002038D5" w:rsidP="002038D5">
      <w:pPr>
        <w:pStyle w:val="Textbezodsazen"/>
      </w:pPr>
    </w:p>
    <w:p w14:paraId="0DDB6DF8" w14:textId="77777777" w:rsidR="00266436" w:rsidRDefault="00266436" w:rsidP="002038D5">
      <w:pPr>
        <w:pStyle w:val="Textbezodsazen"/>
      </w:pPr>
    </w:p>
    <w:p w14:paraId="05C9AAC2" w14:textId="77777777" w:rsidR="00266436" w:rsidRDefault="00266436" w:rsidP="002038D5">
      <w:pPr>
        <w:pStyle w:val="Textbezodsazen"/>
      </w:pPr>
    </w:p>
    <w:p w14:paraId="255F1FF3" w14:textId="77777777" w:rsidR="00266436" w:rsidRDefault="00266436" w:rsidP="002038D5">
      <w:pPr>
        <w:pStyle w:val="Textbezodsazen"/>
      </w:pPr>
    </w:p>
    <w:p w14:paraId="2DD52EF4" w14:textId="77777777" w:rsidR="00266436" w:rsidRDefault="00266436" w:rsidP="002038D5">
      <w:pPr>
        <w:pStyle w:val="Textbezodsazen"/>
      </w:pPr>
    </w:p>
    <w:p w14:paraId="5BAA169C" w14:textId="77777777" w:rsidR="00266436" w:rsidRDefault="00266436" w:rsidP="002038D5">
      <w:pPr>
        <w:pStyle w:val="Textbezodsazen"/>
      </w:pPr>
    </w:p>
    <w:p w14:paraId="2C7E0284" w14:textId="77777777" w:rsidR="00266436" w:rsidRDefault="00266436" w:rsidP="002038D5">
      <w:pPr>
        <w:pStyle w:val="Textbezodsazen"/>
      </w:pPr>
    </w:p>
    <w:p w14:paraId="52CEB67F" w14:textId="77777777" w:rsidR="00266436" w:rsidRDefault="00266436" w:rsidP="002038D5">
      <w:pPr>
        <w:pStyle w:val="Textbezodsazen"/>
      </w:pPr>
    </w:p>
    <w:p w14:paraId="6C51B8D5" w14:textId="0A73F1FC"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1D02CB4F"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5F5C05">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2004F6FE"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5F5C05">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77777777" w:rsidR="002038D5" w:rsidRPr="005F5C05" w:rsidRDefault="00EC707C" w:rsidP="00165977">
      <w:pPr>
        <w:pStyle w:val="Nadpistabulky"/>
        <w:rPr>
          <w:sz w:val="18"/>
          <w:szCs w:val="18"/>
        </w:rPr>
      </w:pPr>
      <w:r w:rsidRPr="005F5C05">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5F5C05" w:rsidRDefault="002038D5" w:rsidP="00165977">
            <w:pPr>
              <w:pStyle w:val="Tabulka"/>
              <w:rPr>
                <w:rStyle w:val="Nadpisvtabulce"/>
              </w:rPr>
            </w:pPr>
            <w:r w:rsidRPr="005F5C05">
              <w:rPr>
                <w:rStyle w:val="Nadpisvtabulce"/>
              </w:rPr>
              <w:t>Jméno a příjmení</w:t>
            </w:r>
          </w:p>
        </w:tc>
        <w:tc>
          <w:tcPr>
            <w:tcW w:w="5812" w:type="dxa"/>
          </w:tcPr>
          <w:p w14:paraId="498FF45C" w14:textId="4C045AE3"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5F5C05">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5F5C05" w:rsidRDefault="002038D5" w:rsidP="00165977">
            <w:pPr>
              <w:pStyle w:val="Tabulka"/>
              <w:rPr>
                <w:sz w:val="18"/>
              </w:rPr>
            </w:pPr>
            <w:r w:rsidRPr="005F5C05">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5F5C05" w:rsidRDefault="002038D5" w:rsidP="00165977">
            <w:pPr>
              <w:pStyle w:val="Tabulka"/>
              <w:rPr>
                <w:sz w:val="18"/>
              </w:rPr>
            </w:pPr>
            <w:r w:rsidRPr="005F5C05">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5F5C05" w:rsidRDefault="002038D5" w:rsidP="00165977">
            <w:pPr>
              <w:pStyle w:val="Tabulka"/>
              <w:rPr>
                <w:sz w:val="18"/>
              </w:rPr>
            </w:pPr>
            <w:r w:rsidRPr="005F5C05">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6D9F7830" w14:textId="7E25136E" w:rsidR="005F5C05" w:rsidRPr="005F5C05" w:rsidRDefault="005F5C05" w:rsidP="005F5C05">
      <w:pPr>
        <w:pStyle w:val="Nadpistabulky"/>
        <w:rPr>
          <w:sz w:val="18"/>
          <w:szCs w:val="18"/>
        </w:rPr>
      </w:pPr>
      <w:r>
        <w:rPr>
          <w:sz w:val="18"/>
          <w:szCs w:val="18"/>
        </w:rPr>
        <w:t>Zástupce v</w:t>
      </w:r>
      <w:r w:rsidRPr="005F5C05">
        <w:rPr>
          <w:sz w:val="18"/>
          <w:szCs w:val="18"/>
        </w:rPr>
        <w:t>edoucí</w:t>
      </w:r>
      <w:r>
        <w:rPr>
          <w:sz w:val="18"/>
          <w:szCs w:val="18"/>
        </w:rPr>
        <w:t>ho</w:t>
      </w:r>
      <w:r w:rsidRPr="005F5C05">
        <w:rPr>
          <w:sz w:val="18"/>
          <w:szCs w:val="18"/>
        </w:rPr>
        <w:t xml:space="preserve"> týmu</w:t>
      </w:r>
    </w:p>
    <w:tbl>
      <w:tblPr>
        <w:tblStyle w:val="Mkatabulky"/>
        <w:tblW w:w="8868" w:type="dxa"/>
        <w:tblLook w:val="04A0" w:firstRow="1" w:lastRow="0" w:firstColumn="1" w:lastColumn="0" w:noHBand="0" w:noVBand="1"/>
      </w:tblPr>
      <w:tblGrid>
        <w:gridCol w:w="3056"/>
        <w:gridCol w:w="5812"/>
      </w:tblGrid>
      <w:tr w:rsidR="005F5C05" w:rsidRPr="00047B05" w14:paraId="262FB84A" w14:textId="77777777" w:rsidTr="00544B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2AE4B" w14:textId="77777777" w:rsidR="005F5C05" w:rsidRPr="005F5C05" w:rsidRDefault="005F5C05" w:rsidP="00544B7F">
            <w:pPr>
              <w:pStyle w:val="Tabulka"/>
              <w:rPr>
                <w:rStyle w:val="Nadpisvtabulce"/>
              </w:rPr>
            </w:pPr>
            <w:r w:rsidRPr="005F5C05">
              <w:rPr>
                <w:rStyle w:val="Nadpisvtabulce"/>
              </w:rPr>
              <w:t>Jméno a příjmení</w:t>
            </w:r>
          </w:p>
        </w:tc>
        <w:tc>
          <w:tcPr>
            <w:tcW w:w="5812" w:type="dxa"/>
          </w:tcPr>
          <w:p w14:paraId="4275399B" w14:textId="77777777" w:rsidR="005F5C05" w:rsidRPr="00047B05" w:rsidRDefault="005F5C05" w:rsidP="00544B7F">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Pr>
                <w:b/>
                <w:sz w:val="18"/>
                <w:highlight w:val="yellow"/>
              </w:rPr>
              <w:t>O</w:t>
            </w:r>
            <w:r w:rsidRPr="00047B05">
              <w:rPr>
                <w:b/>
                <w:sz w:val="18"/>
                <w:highlight w:val="yellow"/>
              </w:rPr>
              <w:t>TOVITEL]</w:t>
            </w:r>
          </w:p>
        </w:tc>
      </w:tr>
      <w:tr w:rsidR="005F5C05" w:rsidRPr="00047B05" w14:paraId="16815BB9"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0FBDC594" w14:textId="77777777" w:rsidR="005F5C05" w:rsidRPr="005F5C05" w:rsidRDefault="005F5C05" w:rsidP="00544B7F">
            <w:pPr>
              <w:pStyle w:val="Tabulka"/>
              <w:rPr>
                <w:sz w:val="18"/>
              </w:rPr>
            </w:pPr>
            <w:r w:rsidRPr="005F5C05">
              <w:rPr>
                <w:sz w:val="18"/>
              </w:rPr>
              <w:t>Adresa</w:t>
            </w:r>
          </w:p>
        </w:tc>
        <w:tc>
          <w:tcPr>
            <w:tcW w:w="5812" w:type="dxa"/>
          </w:tcPr>
          <w:p w14:paraId="7E51784F" w14:textId="77777777" w:rsidR="005F5C05" w:rsidRPr="00047B05"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F5C05" w:rsidRPr="00047B05" w14:paraId="43B4143F"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7BA886C5" w14:textId="77777777" w:rsidR="005F5C05" w:rsidRPr="005F5C05" w:rsidRDefault="005F5C05" w:rsidP="00544B7F">
            <w:pPr>
              <w:pStyle w:val="Tabulka"/>
              <w:rPr>
                <w:sz w:val="18"/>
              </w:rPr>
            </w:pPr>
            <w:r w:rsidRPr="005F5C05">
              <w:rPr>
                <w:sz w:val="18"/>
              </w:rPr>
              <w:t>E-mail</w:t>
            </w:r>
          </w:p>
        </w:tc>
        <w:tc>
          <w:tcPr>
            <w:tcW w:w="5812" w:type="dxa"/>
          </w:tcPr>
          <w:p w14:paraId="0B47271C" w14:textId="77777777" w:rsidR="005F5C05" w:rsidRPr="00047B05"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F5C05" w:rsidRPr="00047B05" w14:paraId="74D448A6" w14:textId="77777777" w:rsidTr="00544B7F">
        <w:tc>
          <w:tcPr>
            <w:cnfStyle w:val="001000000000" w:firstRow="0" w:lastRow="0" w:firstColumn="1" w:lastColumn="0" w:oddVBand="0" w:evenVBand="0" w:oddHBand="0" w:evenHBand="0" w:firstRowFirstColumn="0" w:firstRowLastColumn="0" w:lastRowFirstColumn="0" w:lastRowLastColumn="0"/>
            <w:tcW w:w="3056" w:type="dxa"/>
          </w:tcPr>
          <w:p w14:paraId="6E797BC4" w14:textId="77777777" w:rsidR="005F5C05" w:rsidRPr="005F5C05" w:rsidRDefault="005F5C05" w:rsidP="00544B7F">
            <w:pPr>
              <w:pStyle w:val="Tabulka"/>
              <w:rPr>
                <w:sz w:val="18"/>
              </w:rPr>
            </w:pPr>
            <w:r w:rsidRPr="005F5C05">
              <w:rPr>
                <w:sz w:val="18"/>
              </w:rPr>
              <w:t>Telefon</w:t>
            </w:r>
          </w:p>
        </w:tc>
        <w:tc>
          <w:tcPr>
            <w:tcW w:w="5812" w:type="dxa"/>
          </w:tcPr>
          <w:p w14:paraId="458E07F6" w14:textId="77777777" w:rsidR="005F5C05" w:rsidRPr="00047B05" w:rsidRDefault="005F5C05" w:rsidP="00544B7F">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EF754B7" w14:textId="77777777" w:rsidR="005F5C05" w:rsidRDefault="005F5C05" w:rsidP="004436EE">
      <w:pPr>
        <w:pStyle w:val="Textbezodsazen"/>
      </w:pPr>
    </w:p>
    <w:p w14:paraId="316637E1" w14:textId="77777777" w:rsidR="005F5C05" w:rsidRDefault="005F5C05"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6"/>
          <w:footerReference w:type="default" r:id="rId27"/>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B427E63" w:rsidR="00D0544F" w:rsidRPr="005F5C05" w:rsidRDefault="005F5C05" w:rsidP="00D0544F">
            <w:pPr>
              <w:pStyle w:val="Tabulka"/>
              <w:rPr>
                <w:sz w:val="18"/>
              </w:rPr>
            </w:pPr>
            <w:r w:rsidRPr="005F5C05">
              <w:rPr>
                <w:sz w:val="18"/>
              </w:rPr>
              <w:t>Výzva k podání nabídky</w:t>
            </w:r>
          </w:p>
        </w:tc>
        <w:tc>
          <w:tcPr>
            <w:tcW w:w="3129" w:type="dxa"/>
          </w:tcPr>
          <w:p w14:paraId="20027AE0" w14:textId="5CE6BAE5" w:rsidR="00D0544F" w:rsidRPr="00F95FBD" w:rsidRDefault="0018283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4000</w:t>
            </w:r>
            <w:r w:rsidR="005F5C05">
              <w:rPr>
                <w:sz w:val="18"/>
              </w:rPr>
              <w:t>/2025-SŽ-SSV-Ú3</w:t>
            </w:r>
          </w:p>
        </w:tc>
        <w:tc>
          <w:tcPr>
            <w:tcW w:w="2957" w:type="dxa"/>
          </w:tcPr>
          <w:p w14:paraId="1A309BA6" w14:textId="47D80FAF" w:rsidR="00D0544F" w:rsidRPr="00F95FBD" w:rsidRDefault="00967C6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31</w:t>
            </w:r>
            <w:r w:rsidR="00266436" w:rsidRPr="003146D5">
              <w:rPr>
                <w:sz w:val="18"/>
              </w:rPr>
              <w:t>.03.</w:t>
            </w:r>
            <w:r w:rsidR="00266436" w:rsidRPr="00182833">
              <w:rPr>
                <w:sz w:val="18"/>
              </w:rPr>
              <w:t>2025</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2FCAE3DE" w:rsidR="00D0544F" w:rsidRPr="00D0544F" w:rsidRDefault="005F5C05" w:rsidP="00964369">
            <w:pPr>
              <w:pStyle w:val="Tabulka"/>
              <w:rPr>
                <w:sz w:val="18"/>
                <w:highlight w:val="green"/>
              </w:rPr>
            </w:pPr>
            <w:r w:rsidRPr="005F5C05">
              <w:rPr>
                <w:sz w:val="18"/>
              </w:rPr>
              <w:t>Dopravní model města Zlína</w:t>
            </w:r>
          </w:p>
        </w:tc>
        <w:tc>
          <w:tcPr>
            <w:tcW w:w="3129" w:type="dxa"/>
          </w:tcPr>
          <w:p w14:paraId="2FBC8AD6" w14:textId="489A3275" w:rsidR="00D0544F" w:rsidRPr="00F95FBD" w:rsidRDefault="00182833"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558C7BE0" w:rsidR="00D0544F" w:rsidRPr="00F95FBD" w:rsidRDefault="0026643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06/2016</w:t>
            </w: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D942FA6" w:rsidR="00D0544F" w:rsidRPr="005F5C05" w:rsidRDefault="005F5C05" w:rsidP="00964369">
            <w:pPr>
              <w:pStyle w:val="Tabulka"/>
              <w:rPr>
                <w:sz w:val="18"/>
              </w:rPr>
            </w:pPr>
            <w:r w:rsidRPr="005F5C05">
              <w:rPr>
                <w:sz w:val="18"/>
              </w:rPr>
              <w:t>Nabídka zhotovitele</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021B887E" w:rsidR="00D0544F" w:rsidRPr="00F95FBD" w:rsidRDefault="005F5C0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4518FD66"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72657DFE"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3D18B60E"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585A5B6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43BC967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5BF304A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55F0842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036E10C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05DEF04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4B3DA38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57DA3901"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7C6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7B34208"/>
    <w:multiLevelType w:val="hybridMultilevel"/>
    <w:tmpl w:val="16FAC436"/>
    <w:lvl w:ilvl="0" w:tplc="A3C688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577290"/>
    <w:multiLevelType w:val="multilevel"/>
    <w:tmpl w:val="AD18F6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2"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F112F24"/>
    <w:multiLevelType w:val="hybridMultilevel"/>
    <w:tmpl w:val="50EE277E"/>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5"/>
  </w:num>
  <w:num w:numId="4" w16cid:durableId="504245960">
    <w:abstractNumId w:val="7"/>
  </w:num>
  <w:num w:numId="5" w16cid:durableId="15201964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8"/>
  </w:num>
  <w:num w:numId="7" w16cid:durableId="329068112">
    <w:abstractNumId w:val="10"/>
  </w:num>
  <w:num w:numId="8" w16cid:durableId="1204253119">
    <w:abstractNumId w:val="13"/>
  </w:num>
  <w:num w:numId="9" w16cid:durableId="386690477">
    <w:abstractNumId w:val="0"/>
  </w:num>
  <w:num w:numId="10" w16cid:durableId="883785504">
    <w:abstractNumId w:val="2"/>
  </w:num>
  <w:num w:numId="11" w16cid:durableId="1478646676">
    <w:abstractNumId w:val="16"/>
  </w:num>
  <w:num w:numId="12" w16cid:durableId="2004158623">
    <w:abstractNumId w:val="0"/>
  </w:num>
  <w:num w:numId="13" w16cid:durableId="1844855495">
    <w:abstractNumId w:val="2"/>
  </w:num>
  <w:num w:numId="14" w16cid:durableId="1786266187">
    <w:abstractNumId w:val="2"/>
  </w:num>
  <w:num w:numId="15" w16cid:durableId="1278877104">
    <w:abstractNumId w:val="8"/>
  </w:num>
  <w:num w:numId="16" w16cid:durableId="1157309437">
    <w:abstractNumId w:val="8"/>
  </w:num>
  <w:num w:numId="17" w16cid:durableId="106320502">
    <w:abstractNumId w:val="8"/>
  </w:num>
  <w:num w:numId="18" w16cid:durableId="2124033394">
    <w:abstractNumId w:val="10"/>
  </w:num>
  <w:num w:numId="19" w16cid:durableId="1990596345">
    <w:abstractNumId w:val="10"/>
  </w:num>
  <w:num w:numId="20" w16cid:durableId="462887116">
    <w:abstractNumId w:val="10"/>
  </w:num>
  <w:num w:numId="21" w16cid:durableId="1732652759">
    <w:abstractNumId w:val="13"/>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6"/>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9"/>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2"/>
  </w:num>
  <w:num w:numId="38" w16cid:durableId="816343946">
    <w:abstractNumId w:val="0"/>
  </w:num>
  <w:num w:numId="39" w16cid:durableId="1394811648">
    <w:abstractNumId w:val="4"/>
  </w:num>
  <w:num w:numId="40" w16cid:durableId="1259605889">
    <w:abstractNumId w:val="0"/>
  </w:num>
  <w:num w:numId="41" w16cid:durableId="271518722">
    <w:abstractNumId w:val="0"/>
  </w:num>
  <w:num w:numId="42" w16cid:durableId="1615213632">
    <w:abstractNumId w:val="6"/>
  </w:num>
  <w:num w:numId="43" w16cid:durableId="637036458">
    <w:abstractNumId w:val="14"/>
  </w:num>
  <w:num w:numId="44" w16cid:durableId="985814286">
    <w:abstractNumId w:val="11"/>
  </w:num>
  <w:num w:numId="45" w16cid:durableId="329088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33336"/>
    <w:rsid w:val="00143EC0"/>
    <w:rsid w:val="00157BBB"/>
    <w:rsid w:val="00160E18"/>
    <w:rsid w:val="001656A2"/>
    <w:rsid w:val="00165977"/>
    <w:rsid w:val="00170EC5"/>
    <w:rsid w:val="001747C1"/>
    <w:rsid w:val="00176814"/>
    <w:rsid w:val="00177D6B"/>
    <w:rsid w:val="00181412"/>
    <w:rsid w:val="00182833"/>
    <w:rsid w:val="00191F90"/>
    <w:rsid w:val="0019221B"/>
    <w:rsid w:val="001A5B98"/>
    <w:rsid w:val="001B4E74"/>
    <w:rsid w:val="001B7B06"/>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66436"/>
    <w:rsid w:val="00276AFE"/>
    <w:rsid w:val="002835F9"/>
    <w:rsid w:val="00284E3E"/>
    <w:rsid w:val="00296FE9"/>
    <w:rsid w:val="002A3B57"/>
    <w:rsid w:val="002A5468"/>
    <w:rsid w:val="002C0AD9"/>
    <w:rsid w:val="002C31BF"/>
    <w:rsid w:val="002D7FD6"/>
    <w:rsid w:val="002E0CD7"/>
    <w:rsid w:val="002E0CFB"/>
    <w:rsid w:val="002E5C7B"/>
    <w:rsid w:val="002F4333"/>
    <w:rsid w:val="003146D5"/>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77B53"/>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7357A"/>
    <w:rsid w:val="00483969"/>
    <w:rsid w:val="00486107"/>
    <w:rsid w:val="00491827"/>
    <w:rsid w:val="00491D38"/>
    <w:rsid w:val="004B249A"/>
    <w:rsid w:val="004C4399"/>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5F5C05"/>
    <w:rsid w:val="00600C41"/>
    <w:rsid w:val="00601A8C"/>
    <w:rsid w:val="0061068E"/>
    <w:rsid w:val="006115D3"/>
    <w:rsid w:val="006153EB"/>
    <w:rsid w:val="00644B90"/>
    <w:rsid w:val="00646AB2"/>
    <w:rsid w:val="0065610E"/>
    <w:rsid w:val="00660AD3"/>
    <w:rsid w:val="00664128"/>
    <w:rsid w:val="006708EB"/>
    <w:rsid w:val="006776B6"/>
    <w:rsid w:val="00677978"/>
    <w:rsid w:val="006915F7"/>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1F0B"/>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62AA"/>
    <w:rsid w:val="007F56A7"/>
    <w:rsid w:val="00800851"/>
    <w:rsid w:val="008063CD"/>
    <w:rsid w:val="00807DD0"/>
    <w:rsid w:val="0081131E"/>
    <w:rsid w:val="00821D01"/>
    <w:rsid w:val="00826B7B"/>
    <w:rsid w:val="0084658A"/>
    <w:rsid w:val="00846789"/>
    <w:rsid w:val="008546F9"/>
    <w:rsid w:val="00866994"/>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67C6C"/>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740E"/>
    <w:rsid w:val="00A14F19"/>
    <w:rsid w:val="00A21A01"/>
    <w:rsid w:val="00A22298"/>
    <w:rsid w:val="00A50641"/>
    <w:rsid w:val="00A530BF"/>
    <w:rsid w:val="00A6177B"/>
    <w:rsid w:val="00A639E4"/>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09F3"/>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ADD"/>
    <w:rsid w:val="00B718FF"/>
    <w:rsid w:val="00B72613"/>
    <w:rsid w:val="00B75EE1"/>
    <w:rsid w:val="00B77202"/>
    <w:rsid w:val="00B77481"/>
    <w:rsid w:val="00B8518B"/>
    <w:rsid w:val="00B909F6"/>
    <w:rsid w:val="00B92ABC"/>
    <w:rsid w:val="00B97CC3"/>
    <w:rsid w:val="00BA5D63"/>
    <w:rsid w:val="00BA6957"/>
    <w:rsid w:val="00BC06C4"/>
    <w:rsid w:val="00BC0A82"/>
    <w:rsid w:val="00BC2E32"/>
    <w:rsid w:val="00BD3114"/>
    <w:rsid w:val="00BD7E91"/>
    <w:rsid w:val="00BD7F0D"/>
    <w:rsid w:val="00BE148C"/>
    <w:rsid w:val="00BE23C1"/>
    <w:rsid w:val="00BE5FCD"/>
    <w:rsid w:val="00BF37DE"/>
    <w:rsid w:val="00BF4276"/>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0507"/>
    <w:rsid w:val="00CD1FC4"/>
    <w:rsid w:val="00D034A0"/>
    <w:rsid w:val="00D0544F"/>
    <w:rsid w:val="00D15937"/>
    <w:rsid w:val="00D21061"/>
    <w:rsid w:val="00D31C6A"/>
    <w:rsid w:val="00D4108E"/>
    <w:rsid w:val="00D4328E"/>
    <w:rsid w:val="00D45DDB"/>
    <w:rsid w:val="00D6163D"/>
    <w:rsid w:val="00D831A3"/>
    <w:rsid w:val="00D97BE3"/>
    <w:rsid w:val="00DA3711"/>
    <w:rsid w:val="00DB26BD"/>
    <w:rsid w:val="00DB6272"/>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3F68"/>
    <w:rsid w:val="00EB46E5"/>
    <w:rsid w:val="00EC707C"/>
    <w:rsid w:val="00ED14BD"/>
    <w:rsid w:val="00EF78DF"/>
    <w:rsid w:val="00F016C7"/>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F5C05"/>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14</TotalTime>
  <Pages>25</Pages>
  <Words>5011</Words>
  <Characters>29565</Characters>
  <Application>Microsoft Office Word</Application>
  <DocSecurity>0</DocSecurity>
  <Lines>246</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2021-01-21T09:43:00Z</cp:lastPrinted>
  <dcterms:created xsi:type="dcterms:W3CDTF">2025-03-27T09:12:00Z</dcterms:created>
  <dcterms:modified xsi:type="dcterms:W3CDTF">2025-03-31T07:37:00Z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